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5493D" w14:textId="2609D9DC" w:rsidR="00864A17" w:rsidRDefault="00CC3943">
      <w:pPr>
        <w:widowControl w:val="0"/>
        <w:tabs>
          <w:tab w:val="right" w:pos="9356"/>
          <w:tab w:val="right" w:pos="10206"/>
        </w:tabs>
        <w:spacing w:after="0"/>
        <w:rPr>
          <w:rFonts w:ascii="Arial" w:hAnsi="Arial" w:cs="Arial"/>
          <w:b/>
          <w:bCs/>
          <w:lang w:eastAsia="ja-JP"/>
        </w:rPr>
      </w:pPr>
      <w:r>
        <w:rPr>
          <w:rFonts w:ascii="Arial" w:hAnsi="Arial" w:cs="Arial"/>
          <w:b/>
          <w:bCs/>
          <w:lang w:eastAsia="ja-JP"/>
        </w:rPr>
        <w:t>3GPP TSG-RAN WG4 Meeting #1</w:t>
      </w:r>
      <w:r>
        <w:rPr>
          <w:rFonts w:ascii="Arial" w:hAnsi="Arial" w:cs="Arial"/>
          <w:b/>
          <w:lang w:eastAsia="ja-JP"/>
        </w:rPr>
        <w:t>14</w:t>
      </w:r>
      <w:r>
        <w:rPr>
          <w:rFonts w:ascii="Arial" w:hAnsi="Arial" w:cs="Arial"/>
          <w:b/>
          <w:bCs/>
          <w:lang w:eastAsia="ja-JP"/>
        </w:rPr>
        <w:t xml:space="preserve"> </w:t>
      </w:r>
      <w:r>
        <w:tab/>
      </w:r>
      <w:r>
        <w:rPr>
          <w:rFonts w:ascii="Arial" w:hAnsi="Arial" w:cs="Arial"/>
          <w:b/>
          <w:bCs/>
          <w:lang w:eastAsia="ja-JP"/>
        </w:rPr>
        <w:t xml:space="preserve">    R4-</w:t>
      </w:r>
      <w:r w:rsidRPr="00CC3943">
        <w:rPr>
          <w:rFonts w:ascii="Arial" w:hAnsi="Arial" w:cs="Arial"/>
          <w:b/>
          <w:bCs/>
          <w:lang w:eastAsia="ja-JP"/>
        </w:rPr>
        <w:t>2</w:t>
      </w:r>
      <w:r w:rsidRPr="00CC3943">
        <w:rPr>
          <w:rFonts w:ascii="Arial" w:hAnsi="Arial" w:cs="Arial"/>
          <w:b/>
          <w:lang w:eastAsia="ja-JP"/>
        </w:rPr>
        <w:t>501760</w:t>
      </w:r>
    </w:p>
    <w:p w14:paraId="29B5493E" w14:textId="708D3E19" w:rsidR="00864A17" w:rsidRDefault="00CC3943">
      <w:pPr>
        <w:widowControl w:val="0"/>
        <w:tabs>
          <w:tab w:val="right" w:pos="9356"/>
          <w:tab w:val="right" w:pos="10206"/>
        </w:tabs>
        <w:spacing w:after="0"/>
        <w:rPr>
          <w:rFonts w:ascii="Arial" w:hAnsi="Arial" w:cs="Arial"/>
          <w:b/>
          <w:lang w:eastAsia="ja-JP"/>
        </w:rPr>
      </w:pPr>
      <w:r>
        <w:rPr>
          <w:rFonts w:ascii="Arial" w:hAnsi="Arial" w:cs="Arial"/>
          <w:b/>
          <w:lang w:eastAsia="ja-JP"/>
        </w:rPr>
        <w:t>Athens, Greece,</w:t>
      </w:r>
      <w:r>
        <w:rPr>
          <w:rFonts w:ascii="Arial" w:hAnsi="Arial" w:cs="Arial"/>
          <w:b/>
          <w:bCs/>
          <w:lang w:eastAsia="ja-JP"/>
        </w:rPr>
        <w:t xml:space="preserve"> 17 – </w:t>
      </w:r>
      <w:r>
        <w:rPr>
          <w:rFonts w:ascii="Arial" w:hAnsi="Arial" w:cs="Arial"/>
          <w:b/>
          <w:lang w:eastAsia="ja-JP"/>
        </w:rPr>
        <w:t xml:space="preserve">21 February </w:t>
      </w:r>
      <w:r>
        <w:rPr>
          <w:rFonts w:ascii="Arial" w:hAnsi="Arial" w:cs="Arial"/>
          <w:b/>
          <w:bCs/>
          <w:lang w:eastAsia="ja-JP"/>
        </w:rPr>
        <w:t>202</w:t>
      </w:r>
      <w:r>
        <w:rPr>
          <w:rFonts w:ascii="Arial" w:hAnsi="Arial" w:cs="Arial"/>
          <w:b/>
          <w:lang w:eastAsia="ja-JP"/>
        </w:rPr>
        <w:t>5</w:t>
      </w:r>
    </w:p>
    <w:p w14:paraId="29B5493F" w14:textId="77777777" w:rsidR="00864A17" w:rsidRDefault="00864A17">
      <w:pPr>
        <w:widowControl w:val="0"/>
        <w:tabs>
          <w:tab w:val="right" w:pos="9356"/>
          <w:tab w:val="right" w:pos="10206"/>
        </w:tabs>
        <w:spacing w:after="0"/>
        <w:rPr>
          <w:rFonts w:ascii="Arial" w:hAnsi="Arial" w:cs="Arial"/>
          <w:b/>
          <w:highlight w:val="yellow"/>
          <w:lang w:eastAsia="ja-JP"/>
        </w:rPr>
      </w:pPr>
    </w:p>
    <w:p w14:paraId="29B54940" w14:textId="77777777" w:rsidR="00864A17" w:rsidRDefault="00864A17">
      <w:pPr>
        <w:tabs>
          <w:tab w:val="left" w:pos="1985"/>
        </w:tabs>
        <w:spacing w:after="120"/>
        <w:rPr>
          <w:rFonts w:ascii="Arial" w:eastAsia="MS Mincho" w:hAnsi="Arial" w:cs="Arial"/>
          <w:b/>
          <w:bCs/>
          <w:highlight w:val="yellow"/>
        </w:rPr>
      </w:pPr>
    </w:p>
    <w:p w14:paraId="29B54941" w14:textId="77777777" w:rsidR="00864A17" w:rsidRDefault="00CC3943">
      <w:pPr>
        <w:tabs>
          <w:tab w:val="left" w:pos="1985"/>
        </w:tabs>
        <w:spacing w:after="120"/>
        <w:rPr>
          <w:rFonts w:ascii="Arial" w:eastAsia="MS Mincho" w:hAnsi="Arial" w:cs="Arial"/>
          <w:b/>
        </w:rPr>
      </w:pPr>
      <w:r>
        <w:rPr>
          <w:rFonts w:ascii="Arial" w:eastAsia="MS Mincho" w:hAnsi="Arial" w:cs="Arial"/>
          <w:b/>
          <w:bCs/>
        </w:rPr>
        <w:t>Agenda Item:</w:t>
      </w:r>
      <w:r>
        <w:rPr>
          <w:rFonts w:ascii="Arial" w:eastAsia="MS Mincho" w:hAnsi="Arial" w:cs="Arial"/>
          <w:b/>
          <w:bCs/>
        </w:rPr>
        <w:tab/>
      </w:r>
      <w:r w:rsidRPr="00CC3943">
        <w:rPr>
          <w:rFonts w:ascii="Arial" w:eastAsia="MS Mincho" w:hAnsi="Arial" w:cs="Arial"/>
          <w:b/>
          <w:bCs/>
        </w:rPr>
        <w:t>7.21.2</w:t>
      </w:r>
    </w:p>
    <w:p w14:paraId="29B54942" w14:textId="77777777" w:rsidR="00864A17" w:rsidRDefault="00CC3943">
      <w:pPr>
        <w:tabs>
          <w:tab w:val="left" w:pos="1985"/>
        </w:tabs>
        <w:spacing w:after="120"/>
        <w:rPr>
          <w:rFonts w:ascii="Arial" w:eastAsia="MS Mincho" w:hAnsi="Arial" w:cs="Arial"/>
          <w:b/>
          <w:bCs/>
        </w:rPr>
      </w:pPr>
      <w:r>
        <w:rPr>
          <w:rFonts w:ascii="Arial" w:eastAsia="MS Mincho" w:hAnsi="Arial" w:cs="Arial"/>
          <w:b/>
          <w:bCs/>
        </w:rPr>
        <w:t xml:space="preserve">Source: </w:t>
      </w:r>
      <w:r>
        <w:rPr>
          <w:rFonts w:ascii="Arial" w:eastAsia="MS Mincho" w:hAnsi="Arial" w:cs="Arial"/>
          <w:b/>
          <w:bCs/>
        </w:rPr>
        <w:tab/>
        <w:t>Ericsson</w:t>
      </w:r>
    </w:p>
    <w:p w14:paraId="29B54943" w14:textId="77777777" w:rsidR="00864A17" w:rsidRDefault="00CC3943">
      <w:pPr>
        <w:tabs>
          <w:tab w:val="left" w:pos="1985"/>
        </w:tabs>
        <w:spacing w:after="120"/>
        <w:ind w:left="1980" w:hanging="1980"/>
        <w:rPr>
          <w:rFonts w:ascii="Arial" w:eastAsia="MS Mincho" w:hAnsi="Arial" w:cs="Arial"/>
          <w:b/>
        </w:rPr>
      </w:pPr>
      <w:r>
        <w:rPr>
          <w:rFonts w:ascii="Arial" w:eastAsia="MS Mincho" w:hAnsi="Arial" w:cs="Arial"/>
          <w:b/>
          <w:bCs/>
        </w:rPr>
        <w:t>Title:</w:t>
      </w:r>
      <w:r>
        <w:tab/>
      </w:r>
      <w:r>
        <w:rPr>
          <w:rFonts w:ascii="Arial" w:eastAsia="MS Mincho" w:hAnsi="Arial" w:cs="Arial"/>
          <w:b/>
        </w:rPr>
        <w:t>On requirements for</w:t>
      </w:r>
      <w:r>
        <w:t xml:space="preserve"> </w:t>
      </w:r>
      <w:r>
        <w:rPr>
          <w:rFonts w:ascii="Arial" w:eastAsia="MS Mincho" w:hAnsi="Arial" w:cs="Arial"/>
          <w:b/>
        </w:rPr>
        <w:t>AI/ML based mobility</w:t>
      </w:r>
    </w:p>
    <w:p w14:paraId="29B54944" w14:textId="77777777" w:rsidR="00864A17" w:rsidRDefault="00CC3943">
      <w:pPr>
        <w:tabs>
          <w:tab w:val="left" w:pos="1985"/>
        </w:tabs>
        <w:spacing w:after="120"/>
        <w:rPr>
          <w:rFonts w:ascii="Arial" w:eastAsia="MS Mincho" w:hAnsi="Arial" w:cs="Arial"/>
          <w:b/>
          <w:bCs/>
        </w:rPr>
      </w:pPr>
      <w:r>
        <w:rPr>
          <w:rFonts w:ascii="Arial" w:eastAsia="MS Mincho" w:hAnsi="Arial" w:cs="Arial"/>
          <w:b/>
          <w:bCs/>
        </w:rPr>
        <w:t>Document for:</w:t>
      </w:r>
      <w:r>
        <w:rPr>
          <w:rFonts w:ascii="Arial" w:eastAsia="MS Mincho" w:hAnsi="Arial" w:cs="Arial"/>
          <w:b/>
          <w:bCs/>
        </w:rPr>
        <w:tab/>
        <w:t>Approval</w:t>
      </w:r>
    </w:p>
    <w:p w14:paraId="29B54945" w14:textId="77777777" w:rsidR="00864A17" w:rsidRDefault="00CC3943">
      <w:pPr>
        <w:pStyle w:val="Heading1"/>
        <w:tabs>
          <w:tab w:val="left" w:pos="432"/>
        </w:tabs>
        <w:ind w:left="431" w:right="72" w:hanging="431"/>
        <w:jc w:val="both"/>
        <w:rPr>
          <w:szCs w:val="36"/>
          <w:lang w:val="en-US"/>
        </w:rPr>
      </w:pPr>
      <w:r>
        <w:rPr>
          <w:szCs w:val="36"/>
          <w:lang w:val="en-US"/>
        </w:rPr>
        <w:t>Introductio</w:t>
      </w:r>
      <w:bookmarkStart w:id="0" w:name="OLE_LINK13"/>
      <w:bookmarkStart w:id="1" w:name="OLE_LINK14"/>
      <w:r>
        <w:rPr>
          <w:szCs w:val="36"/>
          <w:lang w:val="en-US"/>
        </w:rPr>
        <w:t>n</w:t>
      </w:r>
    </w:p>
    <w:p w14:paraId="29B54946" w14:textId="77777777" w:rsidR="00864A17" w:rsidRDefault="00CC3943">
      <w:pPr>
        <w:rPr>
          <w:szCs w:val="36"/>
          <w:lang w:eastAsia="ja-JP"/>
        </w:rPr>
      </w:pPr>
      <w:r>
        <w:rPr>
          <w:szCs w:val="36"/>
        </w:rPr>
        <w:t>In this contribution issues related to the requirements for AI/ML based mobility are discussed. In particular, the items identified FFS in previous meetings and the impact of different prediction types for L3-based mobility on RAN4 requirements are discussed.</w:t>
      </w:r>
    </w:p>
    <w:p w14:paraId="29B54947" w14:textId="77777777" w:rsidR="00864A17" w:rsidRDefault="00CC3943">
      <w:pPr>
        <w:pStyle w:val="Heading1"/>
        <w:rPr>
          <w:lang w:val="en-US"/>
        </w:rPr>
      </w:pPr>
      <w:r>
        <w:rPr>
          <w:lang w:val="en-US"/>
        </w:rPr>
        <w:t>Discussion</w:t>
      </w:r>
    </w:p>
    <w:p w14:paraId="29B54948" w14:textId="77777777" w:rsidR="00864A17" w:rsidRDefault="00CC3943">
      <w:pPr>
        <w:pStyle w:val="Heading2"/>
        <w:rPr>
          <w:lang w:val="en-US"/>
        </w:rPr>
      </w:pPr>
      <w:r>
        <w:rPr>
          <w:lang w:val="en-US"/>
        </w:rPr>
        <w:t>Beam Level Measurement Prediction</w:t>
      </w:r>
    </w:p>
    <w:p w14:paraId="29B54949" w14:textId="77777777" w:rsidR="00864A17" w:rsidRDefault="00CC3943">
      <w:r>
        <w:t>RAN4#112bis discussed the performance metric/KPIs to be considered by RAN4 for AI/ML based mobility requirement. The discussion concluded by reaching to the agreement below, where L1 beam-level measurement prediction at point A</w:t>
      </w:r>
      <w:r>
        <w:rPr>
          <w:vertAlign w:val="superscript"/>
        </w:rPr>
        <w:t>1</w:t>
      </w:r>
      <w:r>
        <w:t xml:space="preserve"> and L3 beam-level measurement prediction at point E in </w:t>
      </w:r>
      <w:r>
        <w:fldChar w:fldCharType="begin"/>
      </w:r>
      <w:r>
        <w:instrText xml:space="preserve"> REF _Ref581036516 \h  \* MERGEFORMAT </w:instrText>
      </w:r>
      <w:r>
        <w:fldChar w:fldCharType="separate"/>
      </w:r>
      <w:r>
        <w:t>Figure 1</w:t>
      </w:r>
      <w:r>
        <w:fldChar w:fldCharType="end"/>
      </w:r>
      <w:r>
        <w:t xml:space="preserve"> were agreed FFS [1].</w:t>
      </w:r>
    </w:p>
    <w:p w14:paraId="29B5494A" w14:textId="77777777" w:rsidR="00864A17" w:rsidRDefault="00CC3943">
      <w:pPr>
        <w:snapToGrid w:val="0"/>
        <w:spacing w:after="120"/>
        <w:rPr>
          <w:rFonts w:ascii="Times New Roman Italic" w:hAnsi="Times New Roman Italic" w:cs="Times New Roman Italic"/>
          <w:i/>
          <w:iCs/>
          <w:sz w:val="21"/>
          <w:szCs w:val="21"/>
          <w:lang w:eastAsia="zh-CN"/>
        </w:rPr>
      </w:pPr>
      <w:r>
        <w:rPr>
          <w:rFonts w:ascii="Times New Roman Bold Italic" w:hAnsi="Times New Roman Bold Italic" w:cs="Times New Roman Bold Italic"/>
          <w:b/>
          <w:bCs/>
          <w:i/>
          <w:iCs/>
          <w:sz w:val="21"/>
          <w:szCs w:val="21"/>
          <w:u w:val="single"/>
          <w:lang w:eastAsia="zh-CN"/>
        </w:rPr>
        <w:br/>
        <w:t>Agreement from RAN4#112bis</w:t>
      </w:r>
      <w:r>
        <w:rPr>
          <w:rFonts w:ascii="Times New Roman Italic" w:hAnsi="Times New Roman Italic" w:cs="Times New Roman Italic"/>
          <w:i/>
          <w:iCs/>
          <w:sz w:val="21"/>
          <w:szCs w:val="21"/>
          <w:lang w:eastAsia="zh-CN"/>
        </w:rPr>
        <w:t>:</w:t>
      </w:r>
    </w:p>
    <w:p w14:paraId="29B5494B" w14:textId="77777777" w:rsidR="00864A17" w:rsidRDefault="00CC3943">
      <w:pPr>
        <w:pStyle w:val="ListParagraph"/>
        <w:numPr>
          <w:ilvl w:val="0"/>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 xml:space="preserve">RAN4 to first study the </w:t>
      </w:r>
      <w:r>
        <w:rPr>
          <w:rFonts w:ascii="Times New Roman Italic" w:hAnsi="Times New Roman Italic" w:cs="Times New Roman Italic"/>
          <w:bCs/>
          <w:i/>
          <w:iCs/>
          <w:szCs w:val="21"/>
          <w:lang w:val="en-US"/>
        </w:rPr>
        <w:t>impacts on requirements</w:t>
      </w:r>
      <w:r>
        <w:rPr>
          <w:rFonts w:ascii="Times New Roman Italic" w:hAnsi="Times New Roman Italic" w:cs="Times New Roman Italic"/>
          <w:i/>
          <w:iCs/>
          <w:szCs w:val="21"/>
          <w:lang w:val="en-US"/>
        </w:rPr>
        <w:t xml:space="preserve"> for the following case:</w:t>
      </w:r>
    </w:p>
    <w:p w14:paraId="29B5494C" w14:textId="77777777" w:rsidR="00864A17" w:rsidRDefault="00CC3943">
      <w:pPr>
        <w:pStyle w:val="ListParagraph"/>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L3 cell level RSRP (Point C) prediction</w:t>
      </w:r>
    </w:p>
    <w:p w14:paraId="29B5494D" w14:textId="77777777" w:rsidR="00864A17" w:rsidRDefault="00CC3943">
      <w:pPr>
        <w:pStyle w:val="ListParagraph"/>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FFS L1 beam-level (Point A</w:t>
      </w:r>
      <w:r>
        <w:rPr>
          <w:rFonts w:ascii="Times New Roman Italic" w:hAnsi="Times New Roman Italic" w:cs="Times New Roman Italic"/>
          <w:i/>
          <w:iCs/>
          <w:szCs w:val="21"/>
          <w:vertAlign w:val="superscript"/>
          <w:lang w:val="en-US"/>
        </w:rPr>
        <w:t>1</w:t>
      </w:r>
      <w:r>
        <w:rPr>
          <w:rFonts w:ascii="Times New Roman Italic" w:hAnsi="Times New Roman Italic" w:cs="Times New Roman Italic"/>
          <w:i/>
          <w:iCs/>
          <w:szCs w:val="21"/>
          <w:lang w:val="en-US"/>
        </w:rPr>
        <w:t>)</w:t>
      </w:r>
    </w:p>
    <w:p w14:paraId="29B5494E" w14:textId="77777777" w:rsidR="00864A17" w:rsidRDefault="00CC3943">
      <w:pPr>
        <w:pStyle w:val="ListParagraph"/>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FFS L3 beam-level (Point E)</w:t>
      </w:r>
    </w:p>
    <w:p w14:paraId="29B5494F" w14:textId="77777777" w:rsidR="00864A17" w:rsidRDefault="00CC3943">
      <w:pPr>
        <w:jc w:val="center"/>
      </w:pPr>
      <w:r>
        <w:lastRenderedPageBreak/>
        <w:br/>
      </w:r>
      <w:r>
        <w:rPr>
          <w:noProof/>
        </w:rPr>
        <w:drawing>
          <wp:inline distT="0" distB="0" distL="114300" distR="114300" wp14:anchorId="29B549ED" wp14:editId="29B549EE">
            <wp:extent cx="5471795" cy="2697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5498762" cy="2710658"/>
                    </a:xfrm>
                    <a:prstGeom prst="rect">
                      <a:avLst/>
                    </a:prstGeom>
                    <a:noFill/>
                    <a:ln>
                      <a:noFill/>
                    </a:ln>
                  </pic:spPr>
                </pic:pic>
              </a:graphicData>
            </a:graphic>
          </wp:inline>
        </w:drawing>
      </w:r>
    </w:p>
    <w:p w14:paraId="29B54950" w14:textId="77777777" w:rsidR="00864A17" w:rsidRDefault="00CC3943">
      <w:pPr>
        <w:pStyle w:val="Caption"/>
        <w:jc w:val="center"/>
        <w:rPr>
          <w:lang w:val="en-US"/>
        </w:rPr>
      </w:pPr>
      <w:bookmarkStart w:id="2" w:name="_Ref581036516"/>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1</w:t>
      </w:r>
      <w:r>
        <w:rPr>
          <w:lang w:val="en-US"/>
        </w:rPr>
        <w:fldChar w:fldCharType="end"/>
      </w:r>
      <w:bookmarkEnd w:id="2"/>
      <w:r>
        <w:rPr>
          <w:lang w:val="en-US"/>
        </w:rPr>
        <w:t>.  Measurement model as defined in TS 38.300 [2].</w:t>
      </w:r>
    </w:p>
    <w:p w14:paraId="29B54951" w14:textId="77777777" w:rsidR="00864A17" w:rsidRDefault="00864A17"/>
    <w:p w14:paraId="29B54952" w14:textId="77777777" w:rsidR="00864A17" w:rsidRDefault="00CC3943">
      <w:r>
        <w:t>In RAN2#127 meeting evaluation of beam level measurement prediction were discussed, where it was concluded to de-prioritize prediction of L3 filtered beam level measurement cases for evaluation. The RAN2 agreement from RAN2#127 meeting is copied below for reference.</w:t>
      </w:r>
    </w:p>
    <w:p w14:paraId="29B54953" w14:textId="77777777" w:rsidR="00864A17" w:rsidRDefault="00CC3943">
      <w:r>
        <w:rPr>
          <w:rFonts w:ascii="Times New Roman Bold Italic" w:hAnsi="Times New Roman Bold Italic" w:cs="Times New Roman Bold Italic"/>
          <w:b/>
          <w:bCs/>
          <w:i/>
          <w:iCs/>
          <w:u w:val="single"/>
        </w:rPr>
        <w:t>Agreement from RAN2#127 [3]:</w:t>
      </w:r>
    </w:p>
    <w:p w14:paraId="29B54954" w14:textId="77777777" w:rsidR="00864A17" w:rsidRDefault="00CC3943">
      <w:pPr>
        <w:numPr>
          <w:ilvl w:val="0"/>
          <w:numId w:val="13"/>
        </w:numPr>
        <w:rPr>
          <w:rFonts w:ascii="Times New Roman Italic" w:hAnsi="Times New Roman Italic" w:cs="Times New Roman Italic"/>
          <w:i/>
          <w:iCs/>
        </w:rPr>
      </w:pPr>
      <w:r>
        <w:rPr>
          <w:rFonts w:ascii="Times New Roman Italic" w:hAnsi="Times New Roman Italic" w:cs="Times New Roman Italic"/>
          <w:i/>
          <w:iCs/>
        </w:rPr>
        <w:t xml:space="preserve">Companies can consider to do L3 filtered beam level results for any of this cases.  L3 filtered beam level prediction cases are lower priority.  </w:t>
      </w:r>
    </w:p>
    <w:p w14:paraId="29B54955" w14:textId="77777777" w:rsidR="00864A17" w:rsidRDefault="00CC3943">
      <w:pPr>
        <w:numPr>
          <w:ilvl w:val="1"/>
          <w:numId w:val="13"/>
        </w:numPr>
        <w:rPr>
          <w:rFonts w:ascii="Times New Roman Italic" w:hAnsi="Times New Roman Italic" w:cs="Times New Roman Italic"/>
          <w:i/>
          <w:iCs/>
        </w:rPr>
      </w:pPr>
      <w:r>
        <w:rPr>
          <w:rFonts w:ascii="Times New Roman Italic" w:hAnsi="Times New Roman Italic" w:cs="Times New Roman Italic"/>
          <w:i/>
          <w:iCs/>
        </w:rPr>
        <w:t>Case 1: To predict L1 filtered beam level results, then generate L3 filtered results based on the predicted L1 beam results.</w:t>
      </w:r>
    </w:p>
    <w:p w14:paraId="29B54956" w14:textId="77777777" w:rsidR="00864A17" w:rsidRDefault="00CC3943">
      <w:pPr>
        <w:numPr>
          <w:ilvl w:val="1"/>
          <w:numId w:val="13"/>
        </w:numPr>
        <w:rPr>
          <w:rFonts w:ascii="Times New Roman Italic" w:hAnsi="Times New Roman Italic" w:cs="Times New Roman Italic"/>
          <w:i/>
          <w:iCs/>
        </w:rPr>
      </w:pPr>
      <w:r>
        <w:rPr>
          <w:rFonts w:ascii="Times New Roman Italic" w:hAnsi="Times New Roman Italic" w:cs="Times New Roman Italic"/>
          <w:i/>
          <w:iCs/>
        </w:rPr>
        <w:t>Case 2: To directly predict L3 filtered beam level results based on the L3 beam level measurement results.</w:t>
      </w:r>
    </w:p>
    <w:p w14:paraId="29B54957" w14:textId="77777777" w:rsidR="00864A17" w:rsidRDefault="00CC3943">
      <w:pPr>
        <w:numPr>
          <w:ilvl w:val="1"/>
          <w:numId w:val="13"/>
        </w:numPr>
        <w:rPr>
          <w:rFonts w:ascii="Times New Roman Italic" w:hAnsi="Times New Roman Italic" w:cs="Times New Roman Italic"/>
          <w:i/>
          <w:iCs/>
        </w:rPr>
      </w:pPr>
      <w:r>
        <w:rPr>
          <w:rFonts w:ascii="Times New Roman Italic" w:hAnsi="Times New Roman Italic" w:cs="Times New Roman Italic"/>
          <w:i/>
          <w:iCs/>
        </w:rPr>
        <w:t>Case 3: To directly predict L3 filtered beam level results based on the L1 beam level measurement results.</w:t>
      </w:r>
    </w:p>
    <w:p w14:paraId="29B54958" w14:textId="77777777" w:rsidR="00864A17" w:rsidRDefault="00CC3943">
      <w:pPr>
        <w:numPr>
          <w:ilvl w:val="0"/>
          <w:numId w:val="13"/>
        </w:numPr>
        <w:rPr>
          <w:rFonts w:ascii="Times New Roman Italic" w:hAnsi="Times New Roman Italic" w:cs="Times New Roman Italic"/>
          <w:i/>
          <w:iCs/>
        </w:rPr>
      </w:pPr>
      <w:r>
        <w:rPr>
          <w:rFonts w:ascii="Times New Roman Italic" w:hAnsi="Times New Roman Italic" w:cs="Times New Roman Italic"/>
          <w:i/>
          <w:iCs/>
        </w:rPr>
        <w:t>If companies do L3 filtered beam level prediction simulations, they should focus on FR2-to-FR2 intra-frequency temporal domain prediction case A.</w:t>
      </w:r>
      <w:r>
        <w:rPr>
          <w:rFonts w:ascii="Times New Roman Italic" w:hAnsi="Times New Roman Italic" w:cs="Times New Roman Italic"/>
          <w:i/>
          <w:iCs/>
          <w:lang w:eastAsia="zh-CN"/>
        </w:rPr>
        <w:t xml:space="preserve"> </w:t>
      </w:r>
    </w:p>
    <w:p w14:paraId="29B54959" w14:textId="77777777" w:rsidR="00864A17" w:rsidRDefault="00CC3943">
      <w:r>
        <w:br/>
        <w:t>The FFS items in the RAN4 agreement from RAN4#112bis meeting are more relevant for the beam level RRM measurement prediction cases. Since the evaluation of beam level measurement prediction has been de-prioritized by RAN2, and without any numerical validation of the accuracy of predicted beam level measurements, impact of the beam level measurement prediction on RAN4 requirement cannot be studied. In our view, the discussion on the impact of beam level measurement prediction on RAN4 requirement should be deprioritized and the issues related to the beam level measurement prediction for mobility purposes should only start after the prediction accuracy of the beam level measurement is validated in RAN2 during the SI.</w:t>
      </w:r>
    </w:p>
    <w:p w14:paraId="29B5495A" w14:textId="77777777" w:rsidR="00864A17" w:rsidRDefault="00CC3943">
      <w:pPr>
        <w:rPr>
          <w:rFonts w:ascii="Times New Roman Italic" w:hAnsi="Times New Roman Italic" w:cs="Times New Roman Italic"/>
        </w:rPr>
      </w:pPr>
      <w:r>
        <w:rPr>
          <w:rFonts w:ascii="Times New Roman Bold" w:hAnsi="Times New Roman Bold" w:cs="Times New Roman Bold"/>
          <w:b/>
          <w:bCs/>
          <w:u w:val="single"/>
        </w:rPr>
        <w:lastRenderedPageBreak/>
        <w:br/>
        <w:t>Observation 1</w:t>
      </w:r>
      <w:r>
        <w:t>:  Evaluation of beam level RRM measurement prediction for mobility has been de-prioritized in RAN2.</w:t>
      </w:r>
      <w:r>
        <w:rPr>
          <w:rFonts w:ascii="Times New Roman Italic" w:hAnsi="Times New Roman Italic" w:cs="Times New Roman Italic"/>
          <w:i/>
          <w:iCs/>
        </w:rPr>
        <w:br/>
      </w:r>
    </w:p>
    <w:p w14:paraId="29B5495B" w14:textId="77777777" w:rsidR="00864A17" w:rsidRDefault="00CC3943">
      <w:pPr>
        <w:rPr>
          <w:rFonts w:ascii="Times New Roman Italic" w:hAnsi="Times New Roman Italic" w:cs="Times New Roman Italic"/>
          <w:i/>
          <w:iCs/>
        </w:rPr>
      </w:pPr>
      <w:r>
        <w:rPr>
          <w:b/>
          <w:bCs/>
          <w:u w:val="single"/>
        </w:rPr>
        <w:t>Proposal 1</w:t>
      </w:r>
      <w:r>
        <w:t xml:space="preserve">: RAN4 to not study the impact of beam level measurement prediction (i.e., </w:t>
      </w:r>
      <w:r>
        <w:rPr>
          <w:rFonts w:ascii="Times New Roman Italic" w:hAnsi="Times New Roman Italic" w:cs="Times New Roman Italic"/>
          <w:szCs w:val="21"/>
        </w:rPr>
        <w:t>L1 beam-level (Point A</w:t>
      </w:r>
      <w:r>
        <w:rPr>
          <w:rFonts w:ascii="Times New Roman Italic" w:hAnsi="Times New Roman Italic" w:cs="Times New Roman Italic"/>
          <w:szCs w:val="21"/>
          <w:vertAlign w:val="superscript"/>
        </w:rPr>
        <w:t>1</w:t>
      </w:r>
      <w:r>
        <w:rPr>
          <w:rFonts w:ascii="Times New Roman Italic" w:hAnsi="Times New Roman Italic" w:cs="Times New Roman Italic"/>
          <w:szCs w:val="21"/>
        </w:rPr>
        <w:t>) and L3 beam-level (Point E)</w:t>
      </w:r>
      <w:r>
        <w:t>) on RAN4 requirement unless agreed to be considered for AI/ML based mobility by RAN2.</w:t>
      </w:r>
      <w:r>
        <w:br/>
      </w:r>
      <w:r>
        <w:br/>
      </w:r>
    </w:p>
    <w:p w14:paraId="29B5495C" w14:textId="77777777" w:rsidR="00864A17" w:rsidRDefault="00CC3943">
      <w:pPr>
        <w:pStyle w:val="Heading2"/>
        <w:rPr>
          <w:lang w:val="en-US"/>
        </w:rPr>
      </w:pPr>
      <w:r>
        <w:rPr>
          <w:lang w:val="en-US"/>
        </w:rPr>
        <w:t>Temporal Prediction</w:t>
      </w:r>
    </w:p>
    <w:p w14:paraId="29B5495D" w14:textId="77777777" w:rsidR="00864A17" w:rsidRDefault="00CC3943">
      <w:r>
        <w:t xml:space="preserve">Two cases, as elaborated in </w:t>
      </w:r>
      <w:r>
        <w:fldChar w:fldCharType="begin"/>
      </w:r>
      <w:r>
        <w:instrText xml:space="preserve"> REF _Ref1733979909 \h  \* MERGEFORMAT </w:instrText>
      </w:r>
      <w:r>
        <w:fldChar w:fldCharType="separate"/>
      </w:r>
      <w:r>
        <w:t>Figure 2</w:t>
      </w:r>
      <w:r>
        <w:fldChar w:fldCharType="end"/>
      </w:r>
      <w:r>
        <w:t xml:space="preserve"> and </w:t>
      </w:r>
      <w:r>
        <w:fldChar w:fldCharType="begin"/>
      </w:r>
      <w:r>
        <w:instrText xml:space="preserve"> REF _Ref1733828646 \h  \* MERGEFORMAT </w:instrText>
      </w:r>
      <w:r>
        <w:fldChar w:fldCharType="separate"/>
      </w:r>
      <w:r>
        <w:t>Figure 3</w:t>
      </w:r>
      <w:r>
        <w:fldChar w:fldCharType="end"/>
      </w:r>
      <w:r>
        <w:t>, are being considered in RAN2 evaluations for the temporal prediction of RRM measurements. In both cases, measurements performed on a cell is used by the UE to predict the RRM measurements for the future time instances for the same cell.</w:t>
      </w:r>
    </w:p>
    <w:p w14:paraId="29B5495E" w14:textId="77777777" w:rsidR="00864A17" w:rsidRDefault="00CC3943">
      <w:r>
        <w:rPr>
          <w:rFonts w:ascii="Times New Roman Bold" w:hAnsi="Times New Roman Bold" w:cs="Times New Roman Bold"/>
          <w:b/>
          <w:bCs/>
          <w:u w:val="single"/>
        </w:rPr>
        <w:br/>
        <w:t>Temporal prediction case-A</w:t>
      </w:r>
      <w:r>
        <w:t>:</w:t>
      </w:r>
    </w:p>
    <w:p w14:paraId="29B5495F" w14:textId="77777777" w:rsidR="00864A17" w:rsidRDefault="00CC3943">
      <w:r>
        <w:t xml:space="preserve">In temporal prediction case-A, UE performs measurement within the observation window (OW) and uses these measurements to perform prediction of measurements valid for the prediction window (PW). An OW consists of one or more measurement occasions and within a PW there can be one or more than one prediction occasions. A high-level overview of OW, measurement occasions within OW, PW and prediction occasions within PW is provided in </w:t>
      </w:r>
      <w:r>
        <w:fldChar w:fldCharType="begin"/>
      </w:r>
      <w:r>
        <w:instrText xml:space="preserve"> REF _Ref1733979909 \h  \* MERGEFORMAT </w:instrText>
      </w:r>
      <w:r>
        <w:fldChar w:fldCharType="separate"/>
      </w:r>
      <w:r>
        <w:t>Figure 2</w:t>
      </w:r>
      <w:r>
        <w:fldChar w:fldCharType="end"/>
      </w:r>
      <w:r>
        <w:t xml:space="preserve">. The prediction occasions or PW starts after the completion of the measurement occasions or OW in temporal prediction case-A. </w:t>
      </w:r>
    </w:p>
    <w:p w14:paraId="29B54960" w14:textId="77777777" w:rsidR="00864A17" w:rsidRDefault="00864A17"/>
    <w:p w14:paraId="29B54961" w14:textId="77777777" w:rsidR="00864A17" w:rsidRDefault="00CC3943">
      <w:pPr>
        <w:jc w:val="center"/>
      </w:pPr>
      <w:r>
        <w:rPr>
          <w:noProof/>
        </w:rPr>
        <w:drawing>
          <wp:inline distT="0" distB="0" distL="114300" distR="114300" wp14:anchorId="29B549EF" wp14:editId="29B549F0">
            <wp:extent cx="3348355" cy="1789430"/>
            <wp:effectExtent l="0" t="0" r="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3363884" cy="1797982"/>
                    </a:xfrm>
                    <a:prstGeom prst="rect">
                      <a:avLst/>
                    </a:prstGeom>
                    <a:noFill/>
                    <a:ln>
                      <a:noFill/>
                    </a:ln>
                  </pic:spPr>
                </pic:pic>
              </a:graphicData>
            </a:graphic>
          </wp:inline>
        </w:drawing>
      </w:r>
    </w:p>
    <w:p w14:paraId="29B54962" w14:textId="77777777" w:rsidR="00864A17" w:rsidRDefault="00CC3943">
      <w:pPr>
        <w:pStyle w:val="Caption"/>
        <w:jc w:val="center"/>
        <w:rPr>
          <w:lang w:val="en-US"/>
        </w:rPr>
      </w:pPr>
      <w:bookmarkStart w:id="3" w:name="_Ref1733979909"/>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2</w:t>
      </w:r>
      <w:r>
        <w:rPr>
          <w:lang w:val="en-US"/>
        </w:rPr>
        <w:fldChar w:fldCharType="end"/>
      </w:r>
      <w:bookmarkEnd w:id="3"/>
      <w:r>
        <w:rPr>
          <w:lang w:val="en-US"/>
        </w:rPr>
        <w:t>.  Example elaboration of temporal prediction case-A.</w:t>
      </w:r>
    </w:p>
    <w:p w14:paraId="29B54963" w14:textId="77777777" w:rsidR="00864A17" w:rsidRDefault="00864A17"/>
    <w:p w14:paraId="29B54964" w14:textId="77777777" w:rsidR="00864A17" w:rsidRDefault="00CC3943">
      <w:r>
        <w:rPr>
          <w:rFonts w:ascii="Times New Roman Bold" w:hAnsi="Times New Roman Bold" w:cs="Times New Roman Bold"/>
          <w:b/>
          <w:bCs/>
          <w:u w:val="single"/>
        </w:rPr>
        <w:t>Temporal prediction case-B</w:t>
      </w:r>
      <w:r>
        <w:t>:</w:t>
      </w:r>
    </w:p>
    <w:p w14:paraId="29B54965" w14:textId="77777777" w:rsidR="00864A17" w:rsidRDefault="00CC3943">
      <w:r>
        <w:t xml:space="preserve">Like the temporal prediction case-A, an OW consists of one or more measurement occasions and within a PW there can be one or more prediction occasions in temporal prediction case-B. The UE is expected to perform measurements in measurement occasions and predict the measurements valid for the prediction occasions inside the prediction window. Unlike temporal prediction case-A, </w:t>
      </w:r>
      <w:r>
        <w:lastRenderedPageBreak/>
        <w:t xml:space="preserve">within the OW the UE can skip performing measurements on some of the measurement occasions in temporal prediction case-B. A high-level overview of OW, measurement occasions within OW, skipped measurement occasions within OW, PW and prediction occasions within PW is provided in </w:t>
      </w:r>
      <w:r>
        <w:fldChar w:fldCharType="begin"/>
      </w:r>
      <w:r>
        <w:instrText xml:space="preserve"> REF _Ref1733828646 \h  \* MERGEFORMAT </w:instrText>
      </w:r>
      <w:r>
        <w:fldChar w:fldCharType="separate"/>
      </w:r>
      <w:r>
        <w:t>Figure 3</w:t>
      </w:r>
      <w:r>
        <w:fldChar w:fldCharType="end"/>
      </w:r>
      <w:r>
        <w:t>. Like temporal prediction case-A, the prediction occasions or PW starts after the completion of the measurement occasions or OW in temporal prediction case-B.</w:t>
      </w:r>
    </w:p>
    <w:p w14:paraId="29B54966" w14:textId="77777777" w:rsidR="00864A17" w:rsidRDefault="00864A17"/>
    <w:p w14:paraId="29B54967" w14:textId="77777777" w:rsidR="00864A17" w:rsidRDefault="00CC3943">
      <w:pPr>
        <w:jc w:val="center"/>
      </w:pPr>
      <w:r>
        <w:rPr>
          <w:noProof/>
        </w:rPr>
        <w:drawing>
          <wp:inline distT="0" distB="0" distL="0" distR="0" wp14:anchorId="29B549F1" wp14:editId="29B549F2">
            <wp:extent cx="4659630" cy="2113280"/>
            <wp:effectExtent l="0" t="0" r="0" b="0"/>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13"/>
                    <a:stretch>
                      <a:fillRect/>
                    </a:stretch>
                  </pic:blipFill>
                  <pic:spPr>
                    <a:xfrm>
                      <a:off x="0" y="0"/>
                      <a:ext cx="4724335" cy="2142345"/>
                    </a:xfrm>
                    <a:prstGeom prst="rect">
                      <a:avLst/>
                    </a:prstGeom>
                  </pic:spPr>
                </pic:pic>
              </a:graphicData>
            </a:graphic>
          </wp:inline>
        </w:drawing>
      </w:r>
    </w:p>
    <w:p w14:paraId="29B54968" w14:textId="77777777" w:rsidR="00864A17" w:rsidRDefault="00CC3943">
      <w:pPr>
        <w:pStyle w:val="Caption"/>
        <w:jc w:val="center"/>
        <w:rPr>
          <w:lang w:val="en-US"/>
        </w:rPr>
      </w:pPr>
      <w:bookmarkStart w:id="4" w:name="_Ref1733828646"/>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3</w:t>
      </w:r>
      <w:r>
        <w:rPr>
          <w:lang w:val="en-US"/>
        </w:rPr>
        <w:fldChar w:fldCharType="end"/>
      </w:r>
      <w:bookmarkEnd w:id="4"/>
      <w:r>
        <w:rPr>
          <w:lang w:val="en-US"/>
        </w:rPr>
        <w:t>. Example elaboration of temporal prediction case-B.</w:t>
      </w:r>
    </w:p>
    <w:p w14:paraId="29B54969" w14:textId="77777777" w:rsidR="00864A17" w:rsidRDefault="00864A17"/>
    <w:p w14:paraId="29B5496A" w14:textId="77777777" w:rsidR="00864A17" w:rsidRDefault="00CC3943">
      <w:r>
        <w:t>In RAN4#112bis meeting prioritization of scenarios for cell level RRM measurement prediction was discussed. Based on the discussions, it was agreed to align prioritization of scenarios in RAN4 with the prioritization of the scenarios in RAN2, where two of the prioritized scenarios relate to temporal prediction (scenario 2 for temporal prediction case-B and scenario 4 for temporal prediction case-A) of RRM measurements [1].</w:t>
      </w:r>
    </w:p>
    <w:p w14:paraId="29B5496B" w14:textId="77777777" w:rsidR="00864A17" w:rsidRDefault="00CC3943">
      <w:pPr>
        <w:snapToGrid w:val="0"/>
        <w:spacing w:after="120"/>
        <w:rPr>
          <w:rFonts w:ascii="Times New Roman Italic" w:hAnsi="Times New Roman Italic" w:cs="Times New Roman Italic"/>
          <w:i/>
          <w:iCs/>
          <w:sz w:val="21"/>
          <w:szCs w:val="21"/>
          <w:lang w:eastAsia="zh-CN"/>
        </w:rPr>
      </w:pPr>
      <w:r>
        <w:rPr>
          <w:rFonts w:ascii="Times New Roman Bold Italic" w:hAnsi="Times New Roman Bold Italic" w:cs="Times New Roman Bold Italic"/>
          <w:b/>
          <w:bCs/>
          <w:i/>
          <w:iCs/>
          <w:sz w:val="21"/>
          <w:szCs w:val="21"/>
          <w:u w:val="single"/>
          <w:lang w:eastAsia="zh-CN"/>
        </w:rPr>
        <w:t>Agreement (RAN4#112bis)</w:t>
      </w:r>
      <w:r>
        <w:rPr>
          <w:rFonts w:ascii="Times New Roman Italic" w:hAnsi="Times New Roman Italic" w:cs="Times New Roman Italic"/>
          <w:i/>
          <w:iCs/>
          <w:sz w:val="21"/>
          <w:szCs w:val="21"/>
          <w:lang w:eastAsia="zh-CN"/>
        </w:rPr>
        <w:t xml:space="preserve">: </w:t>
      </w:r>
    </w:p>
    <w:p w14:paraId="29B5496C" w14:textId="77777777" w:rsidR="00864A17" w:rsidRDefault="00CC3943">
      <w:pPr>
        <w:snapToGrid w:val="0"/>
        <w:spacing w:after="120"/>
        <w:rPr>
          <w:rFonts w:ascii="Times New Roman Italic" w:hAnsi="Times New Roman Italic" w:cs="Times New Roman Italic"/>
          <w:i/>
          <w:iCs/>
          <w:sz w:val="21"/>
          <w:szCs w:val="21"/>
          <w:lang w:eastAsia="zh-CN"/>
        </w:rPr>
      </w:pPr>
      <w:r>
        <w:rPr>
          <w:rFonts w:ascii="Times New Roman Italic" w:hAnsi="Times New Roman Italic" w:cs="Times New Roman Italic"/>
          <w:i/>
          <w:iCs/>
          <w:sz w:val="21"/>
          <w:szCs w:val="21"/>
          <w:lang w:eastAsia="zh-CN"/>
        </w:rPr>
        <w:t xml:space="preserve">RAN4 to start the discussion for scenario 2, 3, 4. Further clarification can be discussed for the scenarios. </w:t>
      </w:r>
    </w:p>
    <w:tbl>
      <w:tblPr>
        <w:tblStyle w:val="TableGrid"/>
        <w:tblW w:w="8794" w:type="dxa"/>
        <w:tblLook w:val="04A0" w:firstRow="1" w:lastRow="0" w:firstColumn="1" w:lastColumn="0" w:noHBand="0" w:noVBand="1"/>
      </w:tblPr>
      <w:tblGrid>
        <w:gridCol w:w="1146"/>
        <w:gridCol w:w="1278"/>
        <w:gridCol w:w="3769"/>
        <w:gridCol w:w="1262"/>
        <w:gridCol w:w="1339"/>
      </w:tblGrid>
      <w:tr w:rsidR="00864A17" w14:paraId="29B54972" w14:textId="77777777">
        <w:tc>
          <w:tcPr>
            <w:tcW w:w="1146" w:type="dxa"/>
            <w:tcBorders>
              <w:top w:val="single" w:sz="4" w:space="0" w:color="auto"/>
              <w:left w:val="single" w:sz="4" w:space="0" w:color="auto"/>
              <w:bottom w:val="single" w:sz="4" w:space="0" w:color="auto"/>
              <w:right w:val="single" w:sz="4" w:space="0" w:color="auto"/>
            </w:tcBorders>
          </w:tcPr>
          <w:p w14:paraId="29B5496D"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2</w:t>
            </w:r>
          </w:p>
        </w:tc>
        <w:tc>
          <w:tcPr>
            <w:tcW w:w="1278" w:type="dxa"/>
            <w:tcBorders>
              <w:top w:val="single" w:sz="4" w:space="0" w:color="auto"/>
              <w:left w:val="single" w:sz="4" w:space="0" w:color="auto"/>
              <w:bottom w:val="single" w:sz="4" w:space="0" w:color="auto"/>
              <w:right w:val="single" w:sz="4" w:space="0" w:color="auto"/>
            </w:tcBorders>
          </w:tcPr>
          <w:p w14:paraId="29B5496E"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29B5496F"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29B54970"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1</w:t>
            </w:r>
            <w:r>
              <w:rPr>
                <w:rFonts w:ascii="Times New Roman Italic" w:eastAsia="Yu Mincho" w:hAnsi="Times New Roman Italic" w:cs="Times New Roman Italic"/>
                <w:i/>
                <w:iCs/>
                <w:sz w:val="21"/>
                <w:szCs w:val="21"/>
                <w:vertAlign w:val="superscript"/>
              </w:rPr>
              <w:t>st</w:t>
            </w:r>
            <w:r>
              <w:rPr>
                <w:rFonts w:ascii="Times New Roman Italic" w:eastAsia="Yu Mincho" w:hAnsi="Times New Roman Italic" w:cs="Times New Roman Italic"/>
                <w:i/>
                <w:iCs/>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9B54971" w14:textId="77777777" w:rsidR="00864A17" w:rsidRDefault="00CC3943">
            <w:pPr>
              <w:snapToGrid w:val="0"/>
              <w:spacing w:after="120" w:line="256" w:lineRule="auto"/>
              <w:rPr>
                <w:rFonts w:ascii="Times New Roman Italic" w:eastAsia="Yu Mincho" w:hAnsi="Times New Roman Italic" w:cs="Times New Roman Italic"/>
                <w:i/>
                <w:iCs/>
                <w:sz w:val="21"/>
                <w:szCs w:val="21"/>
                <w:vertAlign w:val="superscript"/>
              </w:rPr>
            </w:pPr>
            <w:r>
              <w:rPr>
                <w:rFonts w:ascii="Times New Roman Italic" w:eastAsia="Yu Mincho" w:hAnsi="Times New Roman Italic" w:cs="Times New Roman Italic"/>
                <w:i/>
                <w:iCs/>
                <w:sz w:val="21"/>
                <w:szCs w:val="21"/>
              </w:rPr>
              <w:t>Intra-cell</w:t>
            </w:r>
          </w:p>
        </w:tc>
      </w:tr>
      <w:tr w:rsidR="00864A17" w14:paraId="29B54978" w14:textId="77777777">
        <w:tc>
          <w:tcPr>
            <w:tcW w:w="1146" w:type="dxa"/>
            <w:tcBorders>
              <w:top w:val="single" w:sz="4" w:space="0" w:color="auto"/>
              <w:left w:val="single" w:sz="4" w:space="0" w:color="auto"/>
              <w:bottom w:val="single" w:sz="4" w:space="0" w:color="auto"/>
              <w:right w:val="single" w:sz="4" w:space="0" w:color="auto"/>
            </w:tcBorders>
          </w:tcPr>
          <w:p w14:paraId="29B54973"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29B54974"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29B54975"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29B54976"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1</w:t>
            </w:r>
            <w:r>
              <w:rPr>
                <w:rFonts w:ascii="Times New Roman Italic" w:eastAsia="Yu Mincho" w:hAnsi="Times New Roman Italic" w:cs="Times New Roman Italic"/>
                <w:i/>
                <w:iCs/>
                <w:sz w:val="21"/>
                <w:szCs w:val="21"/>
                <w:vertAlign w:val="superscript"/>
              </w:rPr>
              <w:t>st</w:t>
            </w:r>
            <w:r>
              <w:rPr>
                <w:rFonts w:ascii="Times New Roman Italic" w:eastAsia="Yu Mincho" w:hAnsi="Times New Roman Italic" w:cs="Times New Roman Italic"/>
                <w:i/>
                <w:iCs/>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9B54977"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 xml:space="preserve">Inter-cell </w:t>
            </w:r>
          </w:p>
        </w:tc>
      </w:tr>
      <w:tr w:rsidR="00864A17" w14:paraId="29B5497E" w14:textId="77777777">
        <w:tc>
          <w:tcPr>
            <w:tcW w:w="1146" w:type="dxa"/>
            <w:tcBorders>
              <w:top w:val="single" w:sz="4" w:space="0" w:color="auto"/>
              <w:left w:val="single" w:sz="4" w:space="0" w:color="auto"/>
              <w:bottom w:val="single" w:sz="4" w:space="0" w:color="auto"/>
              <w:right w:val="single" w:sz="4" w:space="0" w:color="auto"/>
            </w:tcBorders>
          </w:tcPr>
          <w:p w14:paraId="29B54979"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4</w:t>
            </w:r>
          </w:p>
        </w:tc>
        <w:tc>
          <w:tcPr>
            <w:tcW w:w="1278" w:type="dxa"/>
            <w:tcBorders>
              <w:top w:val="single" w:sz="4" w:space="0" w:color="auto"/>
              <w:left w:val="single" w:sz="4" w:space="0" w:color="auto"/>
              <w:bottom w:val="single" w:sz="4" w:space="0" w:color="auto"/>
              <w:right w:val="single" w:sz="4" w:space="0" w:color="auto"/>
            </w:tcBorders>
          </w:tcPr>
          <w:p w14:paraId="29B5497A"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29B5497B"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9B5497C"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2</w:t>
            </w:r>
            <w:r>
              <w:rPr>
                <w:rFonts w:ascii="Times New Roman Italic" w:eastAsia="Yu Mincho" w:hAnsi="Times New Roman Italic" w:cs="Times New Roman Italic"/>
                <w:i/>
                <w:iCs/>
                <w:sz w:val="21"/>
                <w:szCs w:val="21"/>
                <w:vertAlign w:val="superscript"/>
              </w:rPr>
              <w:t>nd</w:t>
            </w:r>
            <w:r>
              <w:rPr>
                <w:rFonts w:ascii="Times New Roman Italic" w:eastAsia="Yu Mincho" w:hAnsi="Times New Roman Italic" w:cs="Times New Roman Italic"/>
                <w:i/>
                <w:iCs/>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9B5497D"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Intra-cell</w:t>
            </w:r>
          </w:p>
        </w:tc>
      </w:tr>
    </w:tbl>
    <w:p w14:paraId="29B5497F" w14:textId="77777777" w:rsidR="00864A17" w:rsidRDefault="00864A17"/>
    <w:p w14:paraId="29B54980" w14:textId="77777777" w:rsidR="00864A17" w:rsidRDefault="00CC3943">
      <w:r>
        <w:t xml:space="preserve">For each of the prioritized scenarios, the following sub-cases are being considered in RAN2 evaluations: </w:t>
      </w:r>
    </w:p>
    <w:p w14:paraId="29B54981" w14:textId="77777777" w:rsidR="00864A17" w:rsidRDefault="00CC3943">
      <w:pPr>
        <w:pStyle w:val="ListParagraph"/>
        <w:numPr>
          <w:ilvl w:val="0"/>
          <w:numId w:val="14"/>
        </w:numPr>
        <w:tabs>
          <w:tab w:val="left" w:pos="720"/>
        </w:tabs>
        <w:spacing w:after="160" w:line="259" w:lineRule="auto"/>
        <w:rPr>
          <w:i/>
          <w:iCs/>
        </w:rPr>
      </w:pPr>
      <w:r>
        <w:rPr>
          <w:i/>
          <w:iCs/>
          <w:u w:val="single"/>
        </w:rPr>
        <w:t>Sub-case 1</w:t>
      </w:r>
      <w:r>
        <w:rPr>
          <w:i/>
          <w:iCs/>
        </w:rPr>
        <w:t xml:space="preserve">: To predict beam level results, then generate cell level results based on the predicted beam measurements. </w:t>
      </w:r>
    </w:p>
    <w:p w14:paraId="29B54982" w14:textId="77777777" w:rsidR="00864A17" w:rsidRDefault="00CC3943">
      <w:pPr>
        <w:pStyle w:val="ListParagraph"/>
        <w:numPr>
          <w:ilvl w:val="0"/>
          <w:numId w:val="14"/>
        </w:numPr>
        <w:tabs>
          <w:tab w:val="left" w:pos="720"/>
        </w:tabs>
        <w:spacing w:after="160" w:line="259" w:lineRule="auto"/>
        <w:rPr>
          <w:i/>
          <w:iCs/>
        </w:rPr>
      </w:pPr>
      <w:r>
        <w:rPr>
          <w:i/>
          <w:iCs/>
          <w:u w:val="single"/>
        </w:rPr>
        <w:t>Sub-case 2</w:t>
      </w:r>
      <w:r>
        <w:rPr>
          <w:i/>
          <w:iCs/>
        </w:rPr>
        <w:t>: To directly predict cell level results based on cell level measurements.</w:t>
      </w:r>
    </w:p>
    <w:p w14:paraId="29B54983" w14:textId="77777777" w:rsidR="00864A17" w:rsidRDefault="00CC3943">
      <w:pPr>
        <w:pStyle w:val="ListParagraph"/>
        <w:numPr>
          <w:ilvl w:val="0"/>
          <w:numId w:val="14"/>
        </w:numPr>
        <w:tabs>
          <w:tab w:val="left" w:pos="720"/>
        </w:tabs>
        <w:spacing w:after="160" w:line="259" w:lineRule="auto"/>
      </w:pPr>
      <w:r>
        <w:rPr>
          <w:i/>
          <w:iCs/>
          <w:u w:val="single"/>
        </w:rPr>
        <w:t>Sub-case 3</w:t>
      </w:r>
      <w:r>
        <w:rPr>
          <w:i/>
          <w:iCs/>
        </w:rPr>
        <w:t>: To directly predict cell level results based on beam level measurements.</w:t>
      </w:r>
      <w:r>
        <w:t xml:space="preserve"> </w:t>
      </w:r>
    </w:p>
    <w:p w14:paraId="29B54984" w14:textId="77777777" w:rsidR="00864A17" w:rsidRDefault="00CC3943">
      <w:r>
        <w:lastRenderedPageBreak/>
        <w:br/>
        <w:t xml:space="preserve">Simulation results submitted by the participating companies for the intra-frequency intra-cell scenarios were </w:t>
      </w:r>
      <w:proofErr w:type="spellStart"/>
      <w:r>
        <w:t>analysed</w:t>
      </w:r>
      <w:proofErr w:type="spellEnd"/>
      <w:r>
        <w:t xml:space="preserve"> in RAN2#127bis meeting and the following were concluded.</w:t>
      </w:r>
      <w:r>
        <w:br/>
      </w:r>
    </w:p>
    <w:p w14:paraId="29B54985" w14:textId="77777777" w:rsidR="00864A17" w:rsidRDefault="00CC3943">
      <w:pPr>
        <w:rPr>
          <w:i/>
          <w:iCs/>
        </w:rPr>
      </w:pPr>
      <w:r>
        <w:rPr>
          <w:rFonts w:ascii="Times New Roman Bold Italic" w:hAnsi="Times New Roman Bold Italic" w:cs="Times New Roman Bold Italic"/>
          <w:b/>
          <w:bCs/>
          <w:i/>
          <w:iCs/>
          <w:u w:val="single"/>
          <w:lang w:eastAsia="zh-CN"/>
        </w:rPr>
        <w:t>Agreements from RAN2#127bis [3]</w:t>
      </w:r>
    </w:p>
    <w:p w14:paraId="29B54986" w14:textId="77777777" w:rsidR="00864A17" w:rsidRDefault="00CC3943">
      <w:pPr>
        <w:numPr>
          <w:ilvl w:val="0"/>
          <w:numId w:val="15"/>
        </w:numPr>
        <w:rPr>
          <w:rFonts w:ascii="Times New Roman Italic" w:hAnsi="Times New Roman Italic" w:cs="Times New Roman Italic"/>
          <w:i/>
          <w:iCs/>
        </w:rPr>
      </w:pPr>
      <w:r>
        <w:rPr>
          <w:rFonts w:ascii="Times New Roman Italic" w:hAnsi="Times New Roman Italic" w:cs="Times New Roman Italic"/>
          <w:i/>
          <w:iCs/>
          <w:lang w:eastAsia="zh-CN"/>
        </w:rPr>
        <w:t>For intra-frequency temporal domain, higher UE speeds result in larger prediction errors</w:t>
      </w:r>
    </w:p>
    <w:p w14:paraId="29B54987" w14:textId="77777777" w:rsidR="00864A17" w:rsidRDefault="00CC3943">
      <w:pPr>
        <w:numPr>
          <w:ilvl w:val="0"/>
          <w:numId w:val="15"/>
        </w:numPr>
        <w:rPr>
          <w:rFonts w:ascii="Times New Roman Italic" w:hAnsi="Times New Roman Italic" w:cs="Times New Roman Italic"/>
          <w:i/>
          <w:iCs/>
        </w:rPr>
      </w:pPr>
      <w:r>
        <w:rPr>
          <w:rFonts w:ascii="Times New Roman Italic" w:hAnsi="Times New Roman Italic" w:cs="Times New Roman Italic"/>
          <w:i/>
          <w:iCs/>
          <w:lang w:eastAsia="zh-CN"/>
        </w:rPr>
        <w:t xml:space="preserve">Initially, increasing the OW length can enhance prediction accuracy in the temporal domain </w:t>
      </w:r>
      <w:r>
        <w:rPr>
          <w:rFonts w:ascii="Times New Roman Italic" w:hAnsi="Times New Roman Italic" w:cs="Times New Roman Italic"/>
          <w:b/>
          <w:bCs/>
          <w:i/>
          <w:iCs/>
          <w:lang w:eastAsia="zh-CN"/>
        </w:rPr>
        <w:t>case A</w:t>
      </w:r>
      <w:r>
        <w:rPr>
          <w:rFonts w:ascii="Times New Roman Italic" w:hAnsi="Times New Roman Italic" w:cs="Times New Roman Italic"/>
          <w:i/>
          <w:iCs/>
          <w:lang w:eastAsia="zh-CN"/>
        </w:rPr>
        <w:t xml:space="preserve">,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  </w:t>
      </w:r>
    </w:p>
    <w:p w14:paraId="29B54988" w14:textId="77777777" w:rsidR="00864A17" w:rsidRDefault="00CC3943">
      <w:pPr>
        <w:numPr>
          <w:ilvl w:val="0"/>
          <w:numId w:val="15"/>
        </w:numPr>
        <w:rPr>
          <w:rFonts w:ascii="Times New Roman Italic" w:hAnsi="Times New Roman Italic" w:cs="Times New Roman Italic"/>
          <w:i/>
          <w:iCs/>
        </w:rPr>
      </w:pPr>
      <w:r>
        <w:rPr>
          <w:rFonts w:ascii="Times New Roman Italic" w:hAnsi="Times New Roman Italic" w:cs="Times New Roman Italic"/>
          <w:i/>
          <w:iCs/>
        </w:rPr>
        <w:t>Majority of companies observe that among sub cases 1, 2, and 3, at least with shorter prediction window sub case 2 demonstrates the highest prediction accuracy.</w:t>
      </w:r>
    </w:p>
    <w:p w14:paraId="29B54989" w14:textId="77777777" w:rsidR="00864A17" w:rsidRDefault="00CC3943">
      <w:pPr>
        <w:jc w:val="both"/>
        <w:rPr>
          <w:b/>
          <w:bCs/>
        </w:rPr>
      </w:pPr>
      <w:r>
        <w:br/>
      </w:r>
      <w:r>
        <w:rPr>
          <w:rFonts w:ascii="Times New Roman Bold Italic" w:hAnsi="Times New Roman Bold Italic" w:cs="Times New Roman Bold Italic"/>
          <w:b/>
          <w:bCs/>
          <w:i/>
          <w:iCs/>
          <w:u w:val="single"/>
          <w:lang w:eastAsia="zh-CN"/>
        </w:rPr>
        <w:t>Agreements from RAN2#128 [4]</w:t>
      </w:r>
    </w:p>
    <w:p w14:paraId="29B5498A" w14:textId="77777777" w:rsidR="00864A17" w:rsidRDefault="00CC3943">
      <w:pPr>
        <w:pStyle w:val="ListParagraph"/>
        <w:numPr>
          <w:ilvl w:val="0"/>
          <w:numId w:val="16"/>
        </w:numPr>
        <w:rPr>
          <w:i/>
          <w:iCs/>
          <w:lang w:val="en-US"/>
        </w:rPr>
      </w:pPr>
      <w:r>
        <w:rPr>
          <w:i/>
          <w:iCs/>
          <w:lang w:val="en-US"/>
        </w:rPr>
        <w:t xml:space="preserve">The prediction accuracy for intra-frequency temporal domain </w:t>
      </w:r>
      <w:r>
        <w:rPr>
          <w:b/>
          <w:bCs/>
          <w:i/>
          <w:iCs/>
          <w:lang w:val="en-US"/>
        </w:rPr>
        <w:t>case B</w:t>
      </w:r>
      <w:r>
        <w:rPr>
          <w:i/>
          <w:iCs/>
          <w:lang w:val="en-US"/>
        </w:rPr>
        <w:t xml:space="preserve"> reduces as MRRT increases.</w:t>
      </w:r>
    </w:p>
    <w:p w14:paraId="29B5498B" w14:textId="77777777" w:rsidR="00864A17" w:rsidRDefault="00CC3943">
      <w:pPr>
        <w:pStyle w:val="ListParagraph"/>
        <w:numPr>
          <w:ilvl w:val="0"/>
          <w:numId w:val="16"/>
        </w:numPr>
        <w:rPr>
          <w:i/>
          <w:iCs/>
          <w:lang w:val="en-US"/>
        </w:rPr>
      </w:pPr>
      <w:r>
        <w:rPr>
          <w:i/>
          <w:iCs/>
          <w:lang w:val="en-US"/>
        </w:rPr>
        <w:t xml:space="preserve">For temporal domain </w:t>
      </w:r>
      <w:r>
        <w:rPr>
          <w:b/>
          <w:bCs/>
          <w:i/>
          <w:iCs/>
          <w:lang w:val="en-US"/>
        </w:rPr>
        <w:t>case B</w:t>
      </w:r>
      <w:r>
        <w:rPr>
          <w:i/>
          <w:iCs/>
          <w:lang w:val="en-US"/>
        </w:rPr>
        <w:t>, with the same MRRT, different skipping pattern can provide different prediction performance. Companies may report the adopted skipping pattern when providing simulation results. Companies are not required to run new simulations but can clarify in the spreadsheet.</w:t>
      </w:r>
    </w:p>
    <w:p w14:paraId="29B5498C" w14:textId="77777777" w:rsidR="00864A17" w:rsidRDefault="00CC3943">
      <w:pPr>
        <w:pStyle w:val="ListParagraph"/>
        <w:numPr>
          <w:ilvl w:val="0"/>
          <w:numId w:val="16"/>
        </w:numPr>
        <w:rPr>
          <w:i/>
          <w:iCs/>
          <w:lang w:val="en-US"/>
        </w:rPr>
      </w:pPr>
      <w:r>
        <w:rPr>
          <w:i/>
          <w:iCs/>
          <w:lang w:val="en-US"/>
        </w:rPr>
        <w:t>We can capture in the TR how the skipping pattern affects the performance.</w:t>
      </w:r>
    </w:p>
    <w:p w14:paraId="29B5498D" w14:textId="77777777" w:rsidR="00864A17" w:rsidRDefault="00864A17"/>
    <w:p w14:paraId="08C97FBB" w14:textId="77777777" w:rsidR="00586115" w:rsidRDefault="00CC3943">
      <w:r>
        <w:t>From the RAN2 agreements, based on the evaluation of the simulation results, it can be observed that the duration of OW or the number of measurements performed inside the OW has an impact on the accuracy of measurements predicted by the UE to be valid for the prediction instances inside the PW for both temporal prediction cases and the prediction accuracy in temporal prediction cases is highest in sub case 2. Considering these observations, the relationship between the OW length and the PW length and the impact of the OW length on the accuracy of the predicted measurements for the prediction instances inside the PW need to be studied. As highlighted in the RAN2 agreements above, the measurement skipping pattern within the OW also has an impact on the accuracy of the predicted measurement for the prediction occasions within the PW for the temporal prediction case-B which requires further investigation in RAN4.</w:t>
      </w:r>
    </w:p>
    <w:p w14:paraId="794F5508" w14:textId="654DC307" w:rsidR="00242EC7" w:rsidRDefault="0037298E">
      <w:r>
        <w:rPr>
          <w:b/>
          <w:bCs/>
          <w:u w:val="single"/>
        </w:rPr>
        <w:br/>
      </w:r>
      <w:r w:rsidR="00586115" w:rsidRPr="00586115">
        <w:rPr>
          <w:b/>
          <w:bCs/>
          <w:u w:val="single"/>
        </w:rPr>
        <w:t>Observation 2</w:t>
      </w:r>
      <w:r w:rsidR="00586115">
        <w:t>: T</w:t>
      </w:r>
      <w:r w:rsidR="00586115" w:rsidRPr="00586115">
        <w:t>he duration of OW or the number of measurements performed inside the OW has an impact on the accuracy of measurements predicted by the UE to be valid for the prediction instances inside the PW for temporal prediction cases</w:t>
      </w:r>
      <w:r w:rsidR="00242EC7">
        <w:t>.</w:t>
      </w:r>
      <w:r>
        <w:br/>
      </w:r>
    </w:p>
    <w:p w14:paraId="29B5498E" w14:textId="2A366D47" w:rsidR="00864A17" w:rsidRDefault="00242EC7">
      <w:r w:rsidRPr="00242EC7">
        <w:rPr>
          <w:b/>
          <w:bCs/>
          <w:u w:val="single"/>
        </w:rPr>
        <w:t>Observation 3</w:t>
      </w:r>
      <w:r>
        <w:t>: P</w:t>
      </w:r>
      <w:r w:rsidRPr="00242EC7">
        <w:t>rediction accuracy in temporal prediction cases is highest in sub case 2</w:t>
      </w:r>
      <w:r w:rsidR="00FB0EAD">
        <w:t>.</w:t>
      </w:r>
      <w:r w:rsidR="00CC3943">
        <w:br/>
      </w:r>
    </w:p>
    <w:p w14:paraId="29B5498F" w14:textId="77777777" w:rsidR="00864A17" w:rsidRDefault="00CC3943">
      <w:r>
        <w:rPr>
          <w:b/>
          <w:bCs/>
          <w:u w:val="single"/>
        </w:rPr>
        <w:t>Proposal 2</w:t>
      </w:r>
      <w:r>
        <w:t>: RAN4 to study relationship between the OW length and PW length and the impact of the number of measurements performed within the OW on the accuracy of the predicted measurements for the instances inside the PW for temporal prediction cases.</w:t>
      </w:r>
      <w:r>
        <w:br/>
      </w:r>
      <w:r>
        <w:lastRenderedPageBreak/>
        <w:br/>
      </w:r>
      <w:r>
        <w:rPr>
          <w:b/>
          <w:bCs/>
          <w:u w:val="single"/>
        </w:rPr>
        <w:br/>
        <w:t>Proposal 3</w:t>
      </w:r>
      <w:r>
        <w:t>: RAN4 to prioritize sub case 2, where cell level measurements are used for the cell level RRM measurement prediction, for the requirement discussion for the temporal prediction cases.</w:t>
      </w:r>
      <w:r>
        <w:rPr>
          <w:strike/>
        </w:rPr>
        <w:br/>
      </w:r>
      <w:r>
        <w:br/>
      </w:r>
      <w:r>
        <w:rPr>
          <w:b/>
          <w:bCs/>
          <w:u w:val="single"/>
        </w:rPr>
        <w:br/>
        <w:t>Proposal 4</w:t>
      </w:r>
      <w:r>
        <w:t xml:space="preserve">: RAN4 to study the impact of measurement skipping within the OW on RAN4 requirement for temporal prediction case-B.  </w:t>
      </w:r>
      <w:r>
        <w:br/>
      </w:r>
      <w:r>
        <w:br/>
      </w:r>
    </w:p>
    <w:p w14:paraId="29B54990" w14:textId="77777777" w:rsidR="00864A17" w:rsidRDefault="00CC3943">
      <w:pPr>
        <w:pStyle w:val="Heading2"/>
        <w:rPr>
          <w:lang w:val="en-US"/>
        </w:rPr>
      </w:pPr>
      <w:r>
        <w:rPr>
          <w:lang w:val="en-US"/>
        </w:rPr>
        <w:t>Frequency Prediction</w:t>
      </w:r>
    </w:p>
    <w:p w14:paraId="29B54991" w14:textId="77777777" w:rsidR="00864A17" w:rsidRDefault="00CC3943">
      <w:r>
        <w:t xml:space="preserve">Frequency domain prediction is another type of prediction considered for AI/ML based mobility. Frequency domain prediction refers to the predictions of measurements of cells in one frequency based on the measurements performed by the UE on cells in another frequency. The scope of inter-frequency prediction is limited to the co-located cells operating in the carriers belonging to the same frequency region. </w:t>
      </w:r>
    </w:p>
    <w:p w14:paraId="29B54992" w14:textId="77777777" w:rsidR="00864A17" w:rsidRDefault="00CC3943">
      <w:r>
        <w:t xml:space="preserve">A high-level elaboration of RRM measurement prediction in frequency domain is exemplified in </w:t>
      </w:r>
      <w:r>
        <w:fldChar w:fldCharType="begin"/>
      </w:r>
      <w:r>
        <w:instrText xml:space="preserve"> REF _Ref1894100198 \h  \* MERGEFORMAT </w:instrText>
      </w:r>
      <w:r>
        <w:fldChar w:fldCharType="separate"/>
      </w:r>
      <w:r>
        <w:t>Figure 4</w:t>
      </w:r>
      <w:r>
        <w:fldChar w:fldCharType="end"/>
      </w:r>
      <w:r>
        <w:t xml:space="preserve">. In this example, the measurements are performed by the UE on cell 1, cell 2, and cell 3. The measurements for cell 4, cell 5, and cell 6 are then predicted by the UE based on the measurements performed on cell 1, cell 2, and cell 3. </w:t>
      </w:r>
    </w:p>
    <w:p w14:paraId="29B54993" w14:textId="77777777" w:rsidR="00864A17" w:rsidRDefault="00CC3943">
      <w:r>
        <w:t>Simulation results submitted by the participating companies for frequency prediction was analyzed in RAN2 in RAN2#128 meeting and concluded the following:</w:t>
      </w:r>
    </w:p>
    <w:p w14:paraId="29B54994" w14:textId="77777777" w:rsidR="00864A17" w:rsidRDefault="00CC3943">
      <w:pPr>
        <w:jc w:val="both"/>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Agreements from RAN2#128 [4]</w:t>
      </w:r>
    </w:p>
    <w:p w14:paraId="29B54995" w14:textId="77777777" w:rsidR="00864A17" w:rsidRDefault="00CC3943">
      <w:pPr>
        <w:pStyle w:val="ListParagraph"/>
        <w:numPr>
          <w:ilvl w:val="0"/>
          <w:numId w:val="17"/>
        </w:numPr>
        <w:rPr>
          <w:i/>
          <w:iCs/>
          <w:lang w:val="en-US"/>
        </w:rPr>
      </w:pPr>
      <w:r>
        <w:rPr>
          <w:i/>
          <w:iCs/>
          <w:lang w:val="en-US"/>
        </w:rPr>
        <w:t xml:space="preserve">For the inter-frequency prediction, the evaluation results show that the higher the correlation coefficient is between two frequency layers, the higher the prediction accuracy. FFS on observations on low correlations.  </w:t>
      </w:r>
    </w:p>
    <w:p w14:paraId="29B54996" w14:textId="77777777" w:rsidR="00864A17" w:rsidRDefault="00CC3943">
      <w:pPr>
        <w:pStyle w:val="ListParagraph"/>
        <w:numPr>
          <w:ilvl w:val="0"/>
          <w:numId w:val="17"/>
        </w:numPr>
        <w:rPr>
          <w:i/>
          <w:iCs/>
          <w:lang w:val="en-US"/>
        </w:rPr>
      </w:pPr>
      <w:r>
        <w:rPr>
          <w:i/>
          <w:iCs/>
          <w:lang w:val="en-US"/>
        </w:rPr>
        <w:t xml:space="preserve">For inter-frequency, cluster as input (i.e. measurements from different cells as inputs) can improve the prediction accuracy than single cell as input. For temporal domain, the gains are unclear. RAN2 will focus on frequency domain for cluster-based approach.   </w:t>
      </w:r>
    </w:p>
    <w:p w14:paraId="29B54997" w14:textId="77777777" w:rsidR="00864A17" w:rsidRDefault="00CC3943">
      <w:pPr>
        <w:pStyle w:val="ListParagraph"/>
        <w:numPr>
          <w:ilvl w:val="0"/>
          <w:numId w:val="17"/>
        </w:numPr>
        <w:rPr>
          <w:lang w:val="en-US"/>
        </w:rPr>
      </w:pPr>
      <w:r>
        <w:rPr>
          <w:i/>
          <w:iCs/>
          <w:lang w:val="en-US"/>
        </w:rPr>
        <w:t>In cluster approach the model takes measurements from more than one cell as inputs.</w:t>
      </w:r>
    </w:p>
    <w:p w14:paraId="29B54998" w14:textId="4474DDCC" w:rsidR="00864A17" w:rsidRDefault="00CC3943">
      <w:r>
        <w:br/>
        <w:t>Based on the RAN2 agreements above, the following observations can be made:</w:t>
      </w:r>
      <w:r>
        <w:br/>
      </w:r>
      <w:r>
        <w:rPr>
          <w:b/>
          <w:bCs/>
          <w:u w:val="single"/>
        </w:rPr>
        <w:br/>
        <w:t xml:space="preserve">Observation </w:t>
      </w:r>
      <w:r w:rsidR="00A85684">
        <w:rPr>
          <w:b/>
          <w:bCs/>
          <w:u w:val="single"/>
        </w:rPr>
        <w:t>4</w:t>
      </w:r>
      <w:r>
        <w:t xml:space="preserve">: Higher the correlation coefficient between the carriers of the input and output cells, higher is the accuracy of RRM measurements predicted for the output cell in frequency prediction case (scenario 3 in prioritized scenario). </w:t>
      </w:r>
      <w:r>
        <w:br/>
      </w:r>
      <w:r>
        <w:br/>
      </w:r>
      <w:r>
        <w:rPr>
          <w:b/>
          <w:bCs/>
          <w:u w:val="single"/>
        </w:rPr>
        <w:t xml:space="preserve">Observation </w:t>
      </w:r>
      <w:r w:rsidR="00A85684">
        <w:rPr>
          <w:b/>
          <w:bCs/>
          <w:u w:val="single"/>
        </w:rPr>
        <w:t>5</w:t>
      </w:r>
      <w:r>
        <w:t xml:space="preserve">: Clustering approach (measurement from multiple </w:t>
      </w:r>
      <w:r>
        <w:rPr>
          <w:b/>
          <w:bCs/>
        </w:rPr>
        <w:t xml:space="preserve">spatial </w:t>
      </w:r>
      <w:r>
        <w:t xml:space="preserve">cells is used for RRM measurement prediction of an output cell) provides higher prediction accuracy in comparison to the case where the measurement from single cell in one frequency is used as an input to predict the RRM measurement for an output cell in another frequency. </w:t>
      </w:r>
    </w:p>
    <w:p w14:paraId="29B54999" w14:textId="77777777" w:rsidR="00864A17" w:rsidRDefault="00864A17"/>
    <w:p w14:paraId="29B5499A" w14:textId="77777777" w:rsidR="00864A17" w:rsidRDefault="00CC3943">
      <w:pPr>
        <w:jc w:val="center"/>
      </w:pPr>
      <w:r>
        <w:rPr>
          <w:noProof/>
        </w:rPr>
        <w:lastRenderedPageBreak/>
        <w:drawing>
          <wp:inline distT="0" distB="0" distL="114300" distR="114300" wp14:anchorId="29B549F3" wp14:editId="29B549F4">
            <wp:extent cx="2972435" cy="2509520"/>
            <wp:effectExtent l="0" t="0" r="24765" b="508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4"/>
                    <a:stretch>
                      <a:fillRect/>
                    </a:stretch>
                  </pic:blipFill>
                  <pic:spPr>
                    <a:xfrm>
                      <a:off x="0" y="0"/>
                      <a:ext cx="2972435" cy="2509520"/>
                    </a:xfrm>
                    <a:prstGeom prst="rect">
                      <a:avLst/>
                    </a:prstGeom>
                    <a:noFill/>
                    <a:ln>
                      <a:noFill/>
                    </a:ln>
                  </pic:spPr>
                </pic:pic>
              </a:graphicData>
            </a:graphic>
          </wp:inline>
        </w:drawing>
      </w:r>
    </w:p>
    <w:p w14:paraId="29B5499B" w14:textId="77777777" w:rsidR="00864A17" w:rsidRDefault="00CC3943">
      <w:pPr>
        <w:pStyle w:val="Caption"/>
        <w:rPr>
          <w:lang w:val="en-US"/>
        </w:rPr>
      </w:pPr>
      <w:bookmarkStart w:id="5" w:name="_Ref1894100198"/>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4</w:t>
      </w:r>
      <w:r>
        <w:rPr>
          <w:lang w:val="en-US"/>
        </w:rPr>
        <w:fldChar w:fldCharType="end"/>
      </w:r>
      <w:bookmarkEnd w:id="5"/>
      <w:r>
        <w:rPr>
          <w:lang w:val="en-US"/>
        </w:rPr>
        <w:t>.  An example elaboration of RRM measurement prediction in frequency domain. Frequency 1 and Frequency 2 are intra-FR carrier frequencies.</w:t>
      </w:r>
    </w:p>
    <w:p w14:paraId="29B5499C" w14:textId="77777777" w:rsidR="00864A17" w:rsidRDefault="00CC3943">
      <w:r>
        <w:br/>
        <w:t>To ensure reliable RRM measurements are predicted and reported by the UE to the network in scenario 3, RAN4 needs to identify an optimum distance in terms of frequency between the measured and the predicted cells such that the requirements for frequency prediction is defined to be met by the UE for the output cell provided the measured cell(s) and output cell(s) are within the identified frequency distance. Moreover, from the requirements point of view the following issues also need to be studied:</w:t>
      </w:r>
    </w:p>
    <w:p w14:paraId="29B5499D" w14:textId="77777777" w:rsidR="00864A17" w:rsidRDefault="00CC3943">
      <w:pPr>
        <w:pStyle w:val="ListParagraph"/>
        <w:numPr>
          <w:ilvl w:val="0"/>
          <w:numId w:val="18"/>
        </w:numPr>
        <w:jc w:val="both"/>
        <w:rPr>
          <w:sz w:val="24"/>
          <w:lang w:val="en-US"/>
        </w:rPr>
      </w:pPr>
      <w:r>
        <w:rPr>
          <w:sz w:val="24"/>
          <w:lang w:val="en-US"/>
        </w:rPr>
        <w:t>Requirements when the measurement from single cell in one carrier frequency is used by the UE as an input to predict the RRM measurement for the cell in another carrier frequency.</w:t>
      </w:r>
      <w:r>
        <w:rPr>
          <w:sz w:val="24"/>
          <w:lang w:val="en-US"/>
        </w:rPr>
        <w:br/>
      </w:r>
    </w:p>
    <w:p w14:paraId="29B5499E" w14:textId="77777777" w:rsidR="00864A17" w:rsidRDefault="00CC3943">
      <w:pPr>
        <w:pStyle w:val="ListParagraph"/>
        <w:numPr>
          <w:ilvl w:val="0"/>
          <w:numId w:val="18"/>
        </w:numPr>
        <w:jc w:val="both"/>
        <w:rPr>
          <w:sz w:val="24"/>
          <w:lang w:val="en-US"/>
        </w:rPr>
      </w:pPr>
      <w:r>
        <w:rPr>
          <w:sz w:val="24"/>
          <w:lang w:val="en-US"/>
        </w:rPr>
        <w:t>Requirements when the measurement from a group of cells in one carrier frequency is used by the UE as input to predict the RRM measurement for the cell in another carrier frequency.</w:t>
      </w:r>
    </w:p>
    <w:p w14:paraId="29B5499F" w14:textId="77777777" w:rsidR="00864A17" w:rsidRDefault="00CC3943">
      <w:r>
        <w:br/>
      </w:r>
      <w:r>
        <w:rPr>
          <w:b/>
          <w:bCs/>
          <w:u w:val="single"/>
        </w:rPr>
        <w:t>Proposal 5</w:t>
      </w:r>
      <w:r>
        <w:t>: RAN4 to study the impact of frequency relationship between the measured and predicted cell on the performance of frequency domain prediction of RRM measurement for mobility.</w:t>
      </w:r>
    </w:p>
    <w:p w14:paraId="29B549A0" w14:textId="77777777" w:rsidR="00864A17" w:rsidRDefault="00864A17">
      <w:pPr>
        <w:jc w:val="both"/>
      </w:pPr>
    </w:p>
    <w:p w14:paraId="29B549A1" w14:textId="77777777" w:rsidR="00864A17" w:rsidRDefault="00CC3943">
      <w:pPr>
        <w:jc w:val="both"/>
      </w:pPr>
      <w:r>
        <w:rPr>
          <w:b/>
          <w:bCs/>
          <w:u w:val="single"/>
        </w:rPr>
        <w:t>Proposal 6</w:t>
      </w:r>
      <w:r>
        <w:t>: RAN4 to study requirement aspects for the following cases:</w:t>
      </w:r>
    </w:p>
    <w:p w14:paraId="29B549A2" w14:textId="77777777" w:rsidR="00864A17" w:rsidRDefault="00CC3943">
      <w:pPr>
        <w:pStyle w:val="ListParagraph"/>
        <w:numPr>
          <w:ilvl w:val="0"/>
          <w:numId w:val="19"/>
        </w:numPr>
        <w:rPr>
          <w:sz w:val="24"/>
          <w:szCs w:val="28"/>
          <w:lang w:val="en-US"/>
        </w:rPr>
      </w:pPr>
      <w:r>
        <w:rPr>
          <w:sz w:val="24"/>
          <w:szCs w:val="28"/>
          <w:lang w:val="en-US"/>
        </w:rPr>
        <w:t>When measurement from single cell in one carrier frequency is used by the UE as an input to predict the RRM measurement for the intra-FR and co-located cell in another carrier frequency.</w:t>
      </w:r>
      <w:r>
        <w:rPr>
          <w:sz w:val="24"/>
          <w:szCs w:val="28"/>
          <w:lang w:val="en-US"/>
        </w:rPr>
        <w:br/>
      </w:r>
    </w:p>
    <w:p w14:paraId="29B549A3" w14:textId="77777777" w:rsidR="00864A17" w:rsidRDefault="00CC3943">
      <w:pPr>
        <w:pStyle w:val="ListParagraph"/>
        <w:numPr>
          <w:ilvl w:val="0"/>
          <w:numId w:val="19"/>
        </w:numPr>
        <w:rPr>
          <w:sz w:val="24"/>
          <w:szCs w:val="28"/>
          <w:lang w:val="en-US"/>
        </w:rPr>
      </w:pPr>
      <w:r>
        <w:rPr>
          <w:sz w:val="24"/>
          <w:szCs w:val="28"/>
          <w:lang w:val="en-US"/>
        </w:rPr>
        <w:t>When measurement from a group of cells in one carrier frequency is used by the UE as an input to predict the RRM measurement for the intra-FR and co-located cell in another carrier frequency.</w:t>
      </w:r>
    </w:p>
    <w:p w14:paraId="29B549A4" w14:textId="77777777" w:rsidR="00864A17" w:rsidRDefault="00864A17">
      <w:pPr>
        <w:pStyle w:val="ListParagraph"/>
        <w:numPr>
          <w:ilvl w:val="0"/>
          <w:numId w:val="0"/>
        </w:numPr>
        <w:ind w:left="720"/>
        <w:rPr>
          <w:lang w:val="en-US"/>
        </w:rPr>
      </w:pPr>
    </w:p>
    <w:p w14:paraId="29B549A5" w14:textId="77777777" w:rsidR="00864A17" w:rsidRDefault="00864A17"/>
    <w:p w14:paraId="29B549A6" w14:textId="77777777" w:rsidR="00864A17" w:rsidRDefault="00CC3943">
      <w:pPr>
        <w:pStyle w:val="Heading2"/>
        <w:rPr>
          <w:lang w:val="en-US"/>
        </w:rPr>
      </w:pPr>
      <w:r>
        <w:rPr>
          <w:lang w:val="en-US"/>
        </w:rPr>
        <w:lastRenderedPageBreak/>
        <w:t>Event Prediction</w:t>
      </w:r>
    </w:p>
    <w:p w14:paraId="29B549A7" w14:textId="77777777" w:rsidR="00864A17" w:rsidRDefault="00CC3943">
      <w:r>
        <w:t xml:space="preserve">To enable event triggered reporting for AI/ML based mobility, indirect and direct event predictions are being considered for evaluations in RAN2. In direct event prediction, the model output is the probability of event occurrence within a time window. For indirect event prediction, the UE is expected to perform the prediction of an event in the temporal domain where the final output is the expected occurrence time of a certain measurement event. </w:t>
      </w:r>
    </w:p>
    <w:p w14:paraId="29B549A8" w14:textId="77777777" w:rsidR="00864A17" w:rsidRDefault="00CC3943">
      <w:r>
        <w:t xml:space="preserve">In legacy event triggered reporting UE is configured with the event and the measurement to report after the conditions for the event triggered reporting are met. The UE continuously monitors if the event condition is met. When the event condition is met, UE starts TTT timer and if the reporting event condition persists until the TTT timer expires, the UE starts the measurement reporting to the network over the air interface. An example timeline of event triggered reporting is shown in </w:t>
      </w:r>
      <w:r>
        <w:fldChar w:fldCharType="begin"/>
      </w:r>
      <w:r>
        <w:instrText xml:space="preserve"> REF _Ref187925258 \h  \* MERGEFORMAT </w:instrText>
      </w:r>
      <w:r>
        <w:fldChar w:fldCharType="separate"/>
      </w:r>
      <w:r>
        <w:t>Figure 5</w:t>
      </w:r>
      <w:r>
        <w:fldChar w:fldCharType="end"/>
      </w:r>
      <w:r>
        <w:t>. The measurement reporting delay in this case is defined as the time between the occurrence of an event and the point in time when the UE starts to transmit the measurement report over the air interface to the network.</w:t>
      </w:r>
      <w:r>
        <w:br/>
        <w:t xml:space="preserve"> </w:t>
      </w:r>
    </w:p>
    <w:p w14:paraId="29B549A9" w14:textId="77777777" w:rsidR="00864A17" w:rsidRDefault="00CC3943">
      <w:pPr>
        <w:keepNext/>
        <w:jc w:val="center"/>
      </w:pPr>
      <w:r>
        <w:rPr>
          <w:noProof/>
          <w:lang w:val="en-GB"/>
        </w:rPr>
        <w:drawing>
          <wp:inline distT="0" distB="0" distL="0" distR="0" wp14:anchorId="29B549F5" wp14:editId="29B549F6">
            <wp:extent cx="3754120" cy="1893570"/>
            <wp:effectExtent l="0" t="0" r="0" b="0"/>
            <wp:docPr id="1355850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850199" name="Picture 1"/>
                    <pic:cNvPicPr>
                      <a:picLocks noChangeAspect="1"/>
                    </pic:cNvPicPr>
                  </pic:nvPicPr>
                  <pic:blipFill>
                    <a:blip r:embed="rId15"/>
                    <a:stretch>
                      <a:fillRect/>
                    </a:stretch>
                  </pic:blipFill>
                  <pic:spPr>
                    <a:xfrm>
                      <a:off x="0" y="0"/>
                      <a:ext cx="3790044" cy="1912172"/>
                    </a:xfrm>
                    <a:prstGeom prst="rect">
                      <a:avLst/>
                    </a:prstGeom>
                  </pic:spPr>
                </pic:pic>
              </a:graphicData>
            </a:graphic>
          </wp:inline>
        </w:drawing>
      </w:r>
    </w:p>
    <w:p w14:paraId="29B549AA" w14:textId="77777777" w:rsidR="00864A17" w:rsidRDefault="00CC3943">
      <w:pPr>
        <w:pStyle w:val="Caption"/>
        <w:jc w:val="center"/>
        <w:rPr>
          <w:lang w:val="en-US"/>
        </w:rPr>
      </w:pPr>
      <w:bookmarkStart w:id="6" w:name="_Ref187925258"/>
      <w:r>
        <w:t xml:space="preserve">Figure </w:t>
      </w:r>
      <w:r>
        <w:fldChar w:fldCharType="begin"/>
      </w:r>
      <w:r>
        <w:instrText xml:space="preserve"> SEQ Figure \* ARABIC </w:instrText>
      </w:r>
      <w:r>
        <w:fldChar w:fldCharType="separate"/>
      </w:r>
      <w:r>
        <w:t>5</w:t>
      </w:r>
      <w:r>
        <w:fldChar w:fldCharType="end"/>
      </w:r>
      <w:bookmarkEnd w:id="6"/>
      <w:r>
        <w:t>. Elaboration of legacy event triggered reporting.</w:t>
      </w:r>
    </w:p>
    <w:p w14:paraId="29B549AB" w14:textId="77777777" w:rsidR="00864A17" w:rsidRDefault="00CC3943">
      <w:pPr>
        <w:rPr>
          <w:strike/>
        </w:rPr>
      </w:pPr>
      <w:r>
        <w:rPr>
          <w:strike/>
        </w:rPr>
        <w:br/>
      </w:r>
      <w:r>
        <w:t xml:space="preserve">In the prediction-based approach, the UE predicts the time when the condition for the event occurrence will be met and whether the event triggered reporting condition persists until the TTT timer expires. Based on the prediction, if the UE determines that the prediction of the event condition holds true until the expiry of the TTT timer, UE reports the measurement to the network. In this scenario, the occurrence of event, and the event condition holding true until the expiry of TTT timer </w:t>
      </w:r>
      <w:proofErr w:type="gramStart"/>
      <w:r>
        <w:t>are</w:t>
      </w:r>
      <w:proofErr w:type="gramEnd"/>
      <w:r>
        <w:t xml:space="preserve"> based on predictions, meaning the event and event condition holding true until the expiry of the TTT timer are evaluated in advance by the UE before the actual event condition is met and the event condition has persisted until the expiry of the TTT timer. Therefore, unlike legacy event triggered reporting, reporting of measurement based on the event prediction, in principle, occurs earlier than the actual reporting of the measurements based on the occurrence of the actual event. In this regard, the reporting delay requirement defined for the legacy event triggered reporting may not hold true for the event prediction cases mandating a need of new requirement to be defined for predicted event triggered reporting. </w:t>
      </w:r>
      <w:r>
        <w:br/>
      </w:r>
    </w:p>
    <w:p w14:paraId="29B549AC" w14:textId="57CBE88A" w:rsidR="00864A17" w:rsidRDefault="00CC3943">
      <w:r>
        <w:rPr>
          <w:b/>
          <w:bCs/>
          <w:u w:val="single"/>
        </w:rPr>
        <w:t xml:space="preserve">Observation </w:t>
      </w:r>
      <w:r w:rsidR="00A85684">
        <w:rPr>
          <w:b/>
          <w:bCs/>
          <w:u w:val="single"/>
        </w:rPr>
        <w:t>6</w:t>
      </w:r>
      <w:r>
        <w:t>: Reporting delay requirement defined for the legacy event triggered reporting may not hold true for the event prediction case.</w:t>
      </w:r>
      <w:r>
        <w:br/>
      </w:r>
    </w:p>
    <w:p w14:paraId="29B549AD" w14:textId="77777777" w:rsidR="00864A17" w:rsidRDefault="00CC3943">
      <w:r>
        <w:rPr>
          <w:b/>
          <w:bCs/>
          <w:u w:val="single"/>
        </w:rPr>
        <w:lastRenderedPageBreak/>
        <w:t>Proposal 7</w:t>
      </w:r>
      <w:r>
        <w:t>: RAN4 to study reporting delay requirement for predicted event triggered reporting.</w:t>
      </w:r>
    </w:p>
    <w:p w14:paraId="29B549AE" w14:textId="77777777" w:rsidR="00864A17" w:rsidRDefault="00864A17"/>
    <w:p w14:paraId="29B549AF" w14:textId="77777777" w:rsidR="00864A17" w:rsidRDefault="00CC3943">
      <w:pPr>
        <w:keepNext/>
        <w:jc w:val="center"/>
      </w:pPr>
      <w:r>
        <w:rPr>
          <w:strike/>
          <w:noProof/>
          <w:lang w:val="en-GB"/>
        </w:rPr>
        <w:drawing>
          <wp:inline distT="0" distB="0" distL="0" distR="0" wp14:anchorId="29B549F7" wp14:editId="29B549F8">
            <wp:extent cx="3860800" cy="2152015"/>
            <wp:effectExtent l="0" t="0" r="0" b="0"/>
            <wp:docPr id="343023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023926" name="Picture 1"/>
                    <pic:cNvPicPr>
                      <a:picLocks noChangeAspect="1"/>
                    </pic:cNvPicPr>
                  </pic:nvPicPr>
                  <pic:blipFill>
                    <a:blip r:embed="rId16"/>
                    <a:stretch>
                      <a:fillRect/>
                    </a:stretch>
                  </pic:blipFill>
                  <pic:spPr>
                    <a:xfrm>
                      <a:off x="0" y="0"/>
                      <a:ext cx="3954284" cy="2203880"/>
                    </a:xfrm>
                    <a:prstGeom prst="rect">
                      <a:avLst/>
                    </a:prstGeom>
                  </pic:spPr>
                </pic:pic>
              </a:graphicData>
            </a:graphic>
          </wp:inline>
        </w:drawing>
      </w:r>
    </w:p>
    <w:p w14:paraId="29B549B0" w14:textId="77777777" w:rsidR="00864A17" w:rsidRDefault="00CC3943">
      <w:pPr>
        <w:pStyle w:val="Caption"/>
        <w:jc w:val="center"/>
        <w:rPr>
          <w:strike/>
          <w:lang w:val="en-US"/>
        </w:rPr>
      </w:pPr>
      <w:r>
        <w:t xml:space="preserve">Figure </w:t>
      </w:r>
      <w:r>
        <w:fldChar w:fldCharType="begin"/>
      </w:r>
      <w:r>
        <w:instrText xml:space="preserve"> SEQ Figure \* ARABIC </w:instrText>
      </w:r>
      <w:r>
        <w:fldChar w:fldCharType="separate"/>
      </w:r>
      <w:r>
        <w:t>6</w:t>
      </w:r>
      <w:r>
        <w:fldChar w:fldCharType="end"/>
      </w:r>
      <w:r>
        <w:t>. Implication of event prediction on event triggered reporting for mobility.</w:t>
      </w:r>
    </w:p>
    <w:p w14:paraId="29B549B1" w14:textId="77777777" w:rsidR="00864A17" w:rsidRDefault="00864A17">
      <w:pPr>
        <w:rPr>
          <w:rFonts w:ascii="Times New Roman Bold" w:hAnsi="Times New Roman Bold" w:cs="Times New Roman Bold"/>
          <w:b/>
          <w:bCs/>
          <w:u w:val="single"/>
        </w:rPr>
      </w:pPr>
    </w:p>
    <w:p w14:paraId="29B549B2" w14:textId="77777777" w:rsidR="00864A17" w:rsidRDefault="00CC3943">
      <w:r>
        <w:t>Event triggered reporting was introduced for mobility in NR to allow the network to perceive real-time radio conditions at UE when it is needed. Measurement reporting is only triggered upon occurrence of an event, thus reducing the signaling overhead while RRM measurement is reported by the UE for the mobility purposes. In our view, this principle should be kept intact when AI/ML model is used by the UE to predict event. Measurement reporting based on event prediction should not result into additional signaling overhead compared to the signaling for legacy event triggered based measurement reporting. Furthermore, it should also be ensured that the measurement reporting based on event prediction should not result into the degradation of HO performance. For example, false detection of an event may result into additional signaling and missed detection of an event may result into degradation in HO performance. To ensure additional signaling overhead is not introduced and HO performance is not degraded due to the measurement reporting based on the event prediction, relevant performance requirement for event prediction needs to be studied in RAN4. The RAN2 agreements from RAN2#127bis meeting further validates the need for performance requirement for event prediction.</w:t>
      </w:r>
    </w:p>
    <w:p w14:paraId="29B549B3" w14:textId="77777777" w:rsidR="00864A17" w:rsidRDefault="00CC3943">
      <w:pPr>
        <w:rPr>
          <w:rFonts w:cstheme="minorHAnsi"/>
          <w:i/>
          <w:iCs/>
          <w:u w:val="single"/>
        </w:rPr>
      </w:pPr>
      <w:r>
        <w:br/>
      </w:r>
      <w:r>
        <w:rPr>
          <w:rFonts w:cstheme="minorHAnsi"/>
          <w:b/>
          <w:bCs/>
          <w:i/>
          <w:iCs/>
          <w:u w:val="single"/>
        </w:rPr>
        <w:t>Agreements on Inputs/outputs and KPIs for event prediction from RAN2#127bis [3]</w:t>
      </w:r>
    </w:p>
    <w:p w14:paraId="29B549B4" w14:textId="77777777" w:rsidR="00864A17" w:rsidRDefault="00CC3943">
      <w:pPr>
        <w:pStyle w:val="ListParagraph"/>
        <w:numPr>
          <w:ilvl w:val="0"/>
          <w:numId w:val="20"/>
        </w:numPr>
        <w:spacing w:after="160" w:line="259" w:lineRule="auto"/>
        <w:rPr>
          <w:rFonts w:cstheme="minorHAnsi"/>
          <w:i/>
          <w:iCs/>
        </w:rPr>
      </w:pPr>
      <w:r>
        <w:rPr>
          <w:rFonts w:cstheme="minorHAnsi"/>
          <w:i/>
          <w:iCs/>
        </w:rPr>
        <w:t xml:space="preserve">For </w:t>
      </w:r>
      <w:r>
        <w:rPr>
          <w:rFonts w:cstheme="minorHAnsi"/>
          <w:i/>
          <w:iCs/>
          <w:u w:val="single"/>
        </w:rPr>
        <w:t>indirect measurement event prediction</w:t>
      </w:r>
      <w:r>
        <w:rPr>
          <w:rFonts w:cstheme="minorHAnsi"/>
          <w:i/>
          <w:iCs/>
        </w:rPr>
        <w:t>, the intermediate output (i.e., the output of RRM prediction model) is RSRP of serving/neighbouring cells.  The final output is the expected occurrence time of a certain measurement event (ex. event A3).</w:t>
      </w:r>
    </w:p>
    <w:p w14:paraId="29B549B5" w14:textId="77777777" w:rsidR="00864A17" w:rsidRDefault="00CC3943">
      <w:pPr>
        <w:pStyle w:val="ListParagraph"/>
        <w:numPr>
          <w:ilvl w:val="0"/>
          <w:numId w:val="20"/>
        </w:numPr>
        <w:spacing w:after="160" w:line="259" w:lineRule="auto"/>
        <w:rPr>
          <w:rFonts w:cstheme="minorHAnsi"/>
          <w:i/>
          <w:iCs/>
        </w:rPr>
      </w:pPr>
      <w:r>
        <w:rPr>
          <w:rFonts w:cstheme="minorHAnsi"/>
          <w:i/>
          <w:iCs/>
        </w:rPr>
        <w:t xml:space="preserve">For </w:t>
      </w:r>
      <w:r>
        <w:rPr>
          <w:rFonts w:cstheme="minorHAnsi"/>
          <w:i/>
          <w:iCs/>
          <w:u w:val="single"/>
        </w:rPr>
        <w:t>direct measurement event prediction</w:t>
      </w:r>
      <w:r>
        <w:rPr>
          <w:rFonts w:cstheme="minorHAnsi"/>
          <w:i/>
          <w:iCs/>
        </w:rPr>
        <w:t>, the model output is the probability of event occurrence within a time window.</w:t>
      </w:r>
    </w:p>
    <w:p w14:paraId="29B549B6" w14:textId="77777777" w:rsidR="00864A17" w:rsidRDefault="00CC3943">
      <w:pPr>
        <w:pStyle w:val="ListParagraph"/>
        <w:numPr>
          <w:ilvl w:val="0"/>
          <w:numId w:val="20"/>
        </w:numPr>
        <w:spacing w:after="160" w:line="259" w:lineRule="auto"/>
        <w:rPr>
          <w:rFonts w:cstheme="minorHAnsi"/>
          <w:i/>
          <w:iCs/>
        </w:rPr>
      </w:pPr>
      <w:r>
        <w:rPr>
          <w:rFonts w:cstheme="minorHAnsi"/>
          <w:i/>
          <w:iCs/>
        </w:rPr>
        <w:t xml:space="preserve">A3 event prediction should follow legacy rules (i.e. the “predicted” conditions </w:t>
      </w:r>
      <w:proofErr w:type="gramStart"/>
      <w:r>
        <w:rPr>
          <w:rFonts w:cstheme="minorHAnsi"/>
          <w:i/>
          <w:iCs/>
        </w:rPr>
        <w:t>have to</w:t>
      </w:r>
      <w:proofErr w:type="gramEnd"/>
      <w:r>
        <w:rPr>
          <w:rFonts w:cstheme="minorHAnsi"/>
          <w:i/>
          <w:iCs/>
        </w:rPr>
        <w:t xml:space="preserve"> persist for the duration of TTT).  </w:t>
      </w:r>
    </w:p>
    <w:p w14:paraId="29B549B7" w14:textId="77777777" w:rsidR="00864A17" w:rsidRDefault="00CC3943">
      <w:pPr>
        <w:pStyle w:val="ListParagraph"/>
        <w:numPr>
          <w:ilvl w:val="0"/>
          <w:numId w:val="20"/>
        </w:numPr>
        <w:spacing w:after="160" w:line="259" w:lineRule="auto"/>
        <w:rPr>
          <w:rFonts w:cstheme="minorHAnsi"/>
          <w:i/>
          <w:iCs/>
        </w:rPr>
      </w:pPr>
      <w:r>
        <w:rPr>
          <w:rFonts w:cstheme="minorHAnsi"/>
          <w:i/>
          <w:iCs/>
        </w:rPr>
        <w:t>As baseline, we will use RLF event prediction KPI:</w:t>
      </w:r>
    </w:p>
    <w:p w14:paraId="29B549B8" w14:textId="77777777" w:rsidR="00864A17" w:rsidRDefault="00CC3943">
      <w:pPr>
        <w:pStyle w:val="ListParagraph"/>
        <w:numPr>
          <w:ilvl w:val="1"/>
          <w:numId w:val="20"/>
        </w:numPr>
        <w:spacing w:after="160" w:line="259" w:lineRule="auto"/>
        <w:rPr>
          <w:rFonts w:cstheme="minorHAnsi"/>
          <w:i/>
          <w:iCs/>
        </w:rPr>
      </w:pPr>
      <w:r>
        <w:rPr>
          <w:rFonts w:cstheme="minorHAnsi"/>
          <w:i/>
          <w:iCs/>
        </w:rPr>
        <w:t xml:space="preserve">for </w:t>
      </w:r>
      <w:r>
        <w:rPr>
          <w:rFonts w:cstheme="minorHAnsi"/>
          <w:i/>
          <w:iCs/>
          <w:u w:val="single"/>
        </w:rPr>
        <w:t>indirect</w:t>
      </w:r>
      <w:r>
        <w:rPr>
          <w:rFonts w:cstheme="minorHAnsi"/>
          <w:i/>
          <w:iCs/>
        </w:rPr>
        <w:t xml:space="preserve">: F1 score.  the following can be reported: RSRP difference, missed event detection, false event detection.  FFS how to define F1 score.  </w:t>
      </w:r>
    </w:p>
    <w:p w14:paraId="29B549B9" w14:textId="77777777" w:rsidR="00864A17" w:rsidRDefault="00CC3943">
      <w:pPr>
        <w:pStyle w:val="ListParagraph"/>
        <w:numPr>
          <w:ilvl w:val="1"/>
          <w:numId w:val="20"/>
        </w:numPr>
        <w:spacing w:after="160" w:line="259" w:lineRule="auto"/>
        <w:rPr>
          <w:rFonts w:cstheme="minorHAnsi"/>
          <w:i/>
          <w:iCs/>
        </w:rPr>
      </w:pPr>
      <w:r>
        <w:rPr>
          <w:rFonts w:cstheme="minorHAnsi"/>
          <w:i/>
          <w:iCs/>
        </w:rPr>
        <w:t xml:space="preserve">time difference of true time event reporting triggered and predicted time event reporting triggered, true event prediction. </w:t>
      </w:r>
    </w:p>
    <w:p w14:paraId="29B549BA" w14:textId="77777777" w:rsidR="00864A17" w:rsidRDefault="00CC3943">
      <w:pPr>
        <w:pStyle w:val="ListParagraph"/>
        <w:numPr>
          <w:ilvl w:val="1"/>
          <w:numId w:val="20"/>
        </w:numPr>
        <w:spacing w:after="160" w:line="259" w:lineRule="auto"/>
        <w:rPr>
          <w:rFonts w:cstheme="minorHAnsi"/>
          <w:i/>
          <w:iCs/>
        </w:rPr>
      </w:pPr>
      <w:r>
        <w:rPr>
          <w:rFonts w:cstheme="minorHAnsi"/>
          <w:i/>
          <w:iCs/>
        </w:rPr>
        <w:lastRenderedPageBreak/>
        <w:t xml:space="preserve">for </w:t>
      </w:r>
      <w:r>
        <w:rPr>
          <w:rFonts w:cstheme="minorHAnsi"/>
          <w:i/>
          <w:iCs/>
          <w:u w:val="single"/>
        </w:rPr>
        <w:t>direct</w:t>
      </w:r>
      <w:r>
        <w:rPr>
          <w:rFonts w:cstheme="minorHAnsi"/>
          <w:i/>
          <w:iCs/>
        </w:rPr>
        <w:t>: F1 score.  The following can be reported: missed event detection, false event detection,</w:t>
      </w:r>
    </w:p>
    <w:p w14:paraId="29B549BB" w14:textId="77777777" w:rsidR="00864A17" w:rsidRDefault="00CC3943">
      <w:pPr>
        <w:pStyle w:val="ListParagraph"/>
        <w:numPr>
          <w:ilvl w:val="0"/>
          <w:numId w:val="20"/>
        </w:numPr>
        <w:spacing w:after="160" w:line="259" w:lineRule="auto"/>
        <w:rPr>
          <w:rFonts w:cstheme="minorHAnsi"/>
          <w:i/>
          <w:iCs/>
        </w:rPr>
      </w:pPr>
      <w:r>
        <w:rPr>
          <w:rFonts w:cstheme="minorHAnsi"/>
          <w:i/>
          <w:iCs/>
        </w:rPr>
        <w:t xml:space="preserve">Continue discussion over email discussion to see if there is a difference.  </w:t>
      </w:r>
    </w:p>
    <w:p w14:paraId="29B549BC" w14:textId="77777777" w:rsidR="00864A17" w:rsidRDefault="00CC3943">
      <w:r>
        <w:br/>
      </w:r>
      <w:r>
        <w:rPr>
          <w:b/>
          <w:bCs/>
          <w:u w:val="single"/>
        </w:rPr>
        <w:t>Proposal 8</w:t>
      </w:r>
      <w:r>
        <w:t>: Performance requirement for direct event prediction needs to be defined for event prediction.</w:t>
      </w:r>
    </w:p>
    <w:p w14:paraId="29B549BD" w14:textId="77777777" w:rsidR="00864A17" w:rsidRDefault="00864A17"/>
    <w:p w14:paraId="29B549BE" w14:textId="77777777" w:rsidR="00864A17" w:rsidRDefault="00CC3943">
      <w:pPr>
        <w:pStyle w:val="Heading2"/>
        <w:rPr>
          <w:lang w:val="en-US"/>
        </w:rPr>
      </w:pPr>
      <w:r>
        <w:rPr>
          <w:lang w:val="en-US"/>
        </w:rPr>
        <w:t xml:space="preserve">RLF </w:t>
      </w:r>
      <w:r>
        <w:t>Prediction</w:t>
      </w:r>
    </w:p>
    <w:p w14:paraId="29B549BF" w14:textId="77777777" w:rsidR="00864A17" w:rsidRDefault="00CC3943">
      <w:r>
        <w:t xml:space="preserve">Discussion on RLF prediction is at its early phase in RAN2, where the setup for evaluation and type of prediction to be considered for evaluation are being considered. Based on the agreement reached in RAN2#128 meeting, both direct and indirect prediction are in scope for RLF prediction evaluation. Both prediction types will have an impact on the RAN4 requirement. But given the progress in RAN2, in our view it is early to start discussion on the requirement aspects of RLF prediction already now in RAN4. </w:t>
      </w:r>
    </w:p>
    <w:p w14:paraId="29B549C0" w14:textId="77777777" w:rsidR="00864A17" w:rsidRDefault="00CC3943">
      <w:pPr>
        <w:rPr>
          <w:rFonts w:cstheme="minorHAnsi"/>
          <w:b/>
          <w:bCs/>
        </w:rPr>
      </w:pPr>
      <w:r>
        <w:rPr>
          <w:rFonts w:cstheme="minorHAnsi"/>
          <w:b/>
          <w:bCs/>
          <w:i/>
          <w:iCs/>
          <w:u w:val="single"/>
        </w:rPr>
        <w:t>Agreements on RLF prediction from RAN2#128 [4]</w:t>
      </w:r>
    </w:p>
    <w:p w14:paraId="29B549C1" w14:textId="77777777" w:rsidR="00864A17" w:rsidRDefault="00CC3943">
      <w:pPr>
        <w:pStyle w:val="ListParagraph"/>
        <w:numPr>
          <w:ilvl w:val="0"/>
          <w:numId w:val="21"/>
        </w:numPr>
        <w:spacing w:after="160" w:line="259" w:lineRule="auto"/>
        <w:rPr>
          <w:rFonts w:cstheme="minorHAnsi"/>
          <w:i/>
          <w:iCs/>
        </w:rPr>
      </w:pPr>
      <w:r>
        <w:rPr>
          <w:rFonts w:cstheme="minorHAnsi"/>
          <w:i/>
          <w:iCs/>
        </w:rPr>
        <w:t>To agree following indirect RLF prediction definition:</w:t>
      </w:r>
    </w:p>
    <w:p w14:paraId="29B549C2" w14:textId="77777777" w:rsidR="00864A17" w:rsidRDefault="00CC3943">
      <w:pPr>
        <w:pStyle w:val="ListParagraph"/>
        <w:numPr>
          <w:ilvl w:val="1"/>
          <w:numId w:val="21"/>
        </w:numPr>
        <w:spacing w:after="160" w:line="259" w:lineRule="auto"/>
        <w:rPr>
          <w:rFonts w:cstheme="minorHAnsi"/>
          <w:i/>
          <w:iCs/>
        </w:rPr>
      </w:pPr>
      <w:r>
        <w:rPr>
          <w:rFonts w:cstheme="minorHAnsi"/>
          <w:i/>
          <w:iCs/>
        </w:rPr>
        <w:t>The future L1 SINR results are predicted based on actual L1 SINR results of the serving cell by following same way of intra-frequency temporal domain case A. Afterwards, RLF event at one time instance is determined based on predicted and optionally actual L1 SINR results within T310 duration, without further AI/ML models. As baseline L1 SINR refers to raw L1 SINR without L1 filtering.</w:t>
      </w:r>
    </w:p>
    <w:p w14:paraId="29B549C3" w14:textId="77777777" w:rsidR="00864A17" w:rsidRDefault="00CC3943">
      <w:pPr>
        <w:pStyle w:val="ListParagraph"/>
        <w:numPr>
          <w:ilvl w:val="0"/>
          <w:numId w:val="21"/>
        </w:numPr>
        <w:spacing w:after="160" w:line="259" w:lineRule="auto"/>
        <w:rPr>
          <w:rFonts w:cstheme="minorHAnsi"/>
          <w:i/>
          <w:iCs/>
        </w:rPr>
      </w:pPr>
      <w:r>
        <w:rPr>
          <w:rFonts w:cstheme="minorHAnsi"/>
          <w:i/>
          <w:iCs/>
        </w:rPr>
        <w:t xml:space="preserve">Reuse agreed metrics for measurement event prediction for RLF prediction for both indirect and direct prediction respectively </w:t>
      </w:r>
    </w:p>
    <w:p w14:paraId="29B549C4" w14:textId="77777777" w:rsidR="00864A17" w:rsidRDefault="00CC3943">
      <w:pPr>
        <w:pStyle w:val="ListParagraph"/>
        <w:numPr>
          <w:ilvl w:val="0"/>
          <w:numId w:val="21"/>
        </w:numPr>
        <w:spacing w:after="160" w:line="259" w:lineRule="auto"/>
        <w:rPr>
          <w:rFonts w:cstheme="minorHAnsi"/>
          <w:i/>
          <w:iCs/>
        </w:rPr>
      </w:pPr>
      <w:r>
        <w:rPr>
          <w:rFonts w:cstheme="minorHAnsi"/>
          <w:i/>
          <w:iCs/>
        </w:rPr>
        <w:t xml:space="preserve">Table 5.1-1 in TR 38.744 is taken as baseline simulation assumption for RLF prediction for both FR1 and FR2 </w:t>
      </w:r>
    </w:p>
    <w:p w14:paraId="29B549C5" w14:textId="77777777" w:rsidR="00864A17" w:rsidRDefault="00CC3943">
      <w:pPr>
        <w:pStyle w:val="ListParagraph"/>
        <w:numPr>
          <w:ilvl w:val="0"/>
          <w:numId w:val="21"/>
        </w:numPr>
        <w:spacing w:after="160" w:line="259" w:lineRule="auto"/>
        <w:rPr>
          <w:rFonts w:cstheme="minorHAnsi"/>
          <w:i/>
          <w:iCs/>
        </w:rPr>
      </w:pPr>
      <w:r>
        <w:rPr>
          <w:rFonts w:cstheme="minorHAnsi"/>
          <w:i/>
          <w:iCs/>
        </w:rPr>
        <w:t>It is assumed that all cells are fully loaded for interference modelling and no resource scheduler is needed</w:t>
      </w:r>
    </w:p>
    <w:p w14:paraId="29B549C6" w14:textId="77777777" w:rsidR="00864A17" w:rsidRDefault="00CC3943">
      <w:pPr>
        <w:pStyle w:val="ListParagraph"/>
        <w:numPr>
          <w:ilvl w:val="0"/>
          <w:numId w:val="21"/>
        </w:numPr>
        <w:spacing w:after="160" w:line="259" w:lineRule="auto"/>
        <w:rPr>
          <w:rFonts w:cstheme="minorHAnsi"/>
          <w:i/>
          <w:iCs/>
        </w:rPr>
      </w:pPr>
      <w:r>
        <w:rPr>
          <w:rFonts w:cstheme="minorHAnsi"/>
          <w:i/>
          <w:iCs/>
        </w:rPr>
        <w:t xml:space="preserve">Interference in simulation comes from co-site cells and surrounding 6 sites of serving cell, i.e., interference comes from 20 cells </w:t>
      </w:r>
    </w:p>
    <w:p w14:paraId="29B549C7" w14:textId="77777777" w:rsidR="00864A17" w:rsidRDefault="00CC3943">
      <w:pPr>
        <w:pStyle w:val="ListParagraph"/>
        <w:numPr>
          <w:ilvl w:val="0"/>
          <w:numId w:val="21"/>
        </w:numPr>
        <w:spacing w:after="160" w:line="259" w:lineRule="auto"/>
        <w:rPr>
          <w:rFonts w:cstheme="minorHAnsi"/>
          <w:i/>
          <w:iCs/>
        </w:rPr>
      </w:pPr>
      <w:r>
        <w:rPr>
          <w:rFonts w:cstheme="minorHAnsi"/>
          <w:i/>
          <w:iCs/>
        </w:rPr>
        <w:t>The beam with highest L1 RSRP of the serving cell is taken as serving beam, which is taken as the serving signal of RLM</w:t>
      </w:r>
    </w:p>
    <w:p w14:paraId="29B549C8" w14:textId="77777777" w:rsidR="00864A17" w:rsidRDefault="00CC3943">
      <w:pPr>
        <w:pStyle w:val="ListParagraph"/>
        <w:numPr>
          <w:ilvl w:val="0"/>
          <w:numId w:val="21"/>
        </w:numPr>
        <w:spacing w:after="160" w:line="259" w:lineRule="auto"/>
        <w:rPr>
          <w:rFonts w:cstheme="minorHAnsi"/>
          <w:i/>
          <w:iCs/>
        </w:rPr>
      </w:pPr>
      <w:r>
        <w:rPr>
          <w:rFonts w:cstheme="minorHAnsi"/>
          <w:i/>
          <w:iCs/>
        </w:rPr>
        <w:t>The interference comes from fixed beam pattern of neighbor cells</w:t>
      </w:r>
    </w:p>
    <w:p w14:paraId="29B549C9" w14:textId="77777777" w:rsidR="00864A17" w:rsidRDefault="00CC3943">
      <w:r>
        <w:rPr>
          <w:strike/>
        </w:rPr>
        <w:br/>
      </w:r>
      <w:r>
        <w:rPr>
          <w:b/>
          <w:bCs/>
          <w:u w:val="single"/>
        </w:rPr>
        <w:t>Proposal 9</w:t>
      </w:r>
      <w:r>
        <w:t>: RAN4 discussion on RLF prediction requirement shall start after sufficient progress has been made in RAN2.</w:t>
      </w:r>
    </w:p>
    <w:p w14:paraId="29B549CA" w14:textId="77777777" w:rsidR="00864A17" w:rsidRDefault="00864A17"/>
    <w:p w14:paraId="29B549CB" w14:textId="77777777" w:rsidR="00864A17" w:rsidRDefault="00CC3943">
      <w:pPr>
        <w:pStyle w:val="Heading2"/>
      </w:pPr>
      <w:r>
        <w:t>Absolute/relative RSRP Prediction Accuracy</w:t>
      </w:r>
    </w:p>
    <w:p w14:paraId="29B549CC" w14:textId="77777777" w:rsidR="00864A17" w:rsidRDefault="00CC3943">
      <w:pPr>
        <w:snapToGrid w:val="0"/>
        <w:spacing w:after="120"/>
        <w:rPr>
          <w:bCs/>
        </w:rPr>
      </w:pPr>
      <w:r>
        <w:rPr>
          <w:bCs/>
        </w:rPr>
        <w:t>In the last RAN4 meeting, definition of the relative and absolute RSRP measurements and whether RAN4 needs to consider introducing accuracy requirement for both relative and absolute RSRP measurements for AI/ML based mobility were discussed. The discussions concluded by agreeing to the WF below.</w:t>
      </w:r>
    </w:p>
    <w:p w14:paraId="29B549CD" w14:textId="77777777" w:rsidR="00864A17" w:rsidRDefault="00CC3943">
      <w:pPr>
        <w:spacing w:after="120"/>
        <w:rPr>
          <w:b/>
          <w:bCs/>
          <w:i/>
          <w:iCs/>
          <w:lang w:eastAsia="zh-CN"/>
        </w:rPr>
      </w:pPr>
      <w:r>
        <w:rPr>
          <w:b/>
          <w:bCs/>
          <w:i/>
          <w:iCs/>
          <w:u w:val="single"/>
          <w:lang w:eastAsia="zh-CN"/>
        </w:rPr>
        <w:lastRenderedPageBreak/>
        <w:t>Way Forward from RAN4#113 [5]</w:t>
      </w:r>
    </w:p>
    <w:p w14:paraId="29B549CE" w14:textId="77777777" w:rsidR="00864A17" w:rsidRDefault="00CC3943">
      <w:pPr>
        <w:snapToGrid w:val="0"/>
        <w:spacing w:after="120"/>
        <w:rPr>
          <w:i/>
          <w:iCs/>
          <w:color w:val="000000" w:themeColor="text1"/>
          <w:sz w:val="21"/>
          <w:szCs w:val="21"/>
          <w:lang w:eastAsia="zh-CN"/>
        </w:rPr>
      </w:pPr>
      <w:r>
        <w:rPr>
          <w:rFonts w:hint="eastAsia"/>
          <w:i/>
          <w:iCs/>
          <w:color w:val="000000" w:themeColor="text1"/>
          <w:sz w:val="21"/>
          <w:szCs w:val="21"/>
          <w:lang w:eastAsia="zh-CN"/>
        </w:rPr>
        <w:t>S</w:t>
      </w:r>
      <w:r>
        <w:rPr>
          <w:i/>
          <w:iCs/>
          <w:color w:val="000000" w:themeColor="text1"/>
          <w:sz w:val="21"/>
          <w:szCs w:val="21"/>
          <w:lang w:eastAsia="zh-CN"/>
        </w:rPr>
        <w:t xml:space="preserve">ession Chair: </w:t>
      </w:r>
    </w:p>
    <w:p w14:paraId="29B549CF" w14:textId="77777777" w:rsidR="00864A17" w:rsidRDefault="00CC3943">
      <w:pPr>
        <w:snapToGrid w:val="0"/>
        <w:spacing w:after="120"/>
        <w:rPr>
          <w:i/>
          <w:iCs/>
        </w:rPr>
      </w:pPr>
      <w:r>
        <w:rPr>
          <w:i/>
          <w:iCs/>
          <w:color w:val="000000" w:themeColor="text1"/>
          <w:lang w:eastAsia="zh-CN"/>
        </w:rPr>
        <w:t xml:space="preserve">Encourage companies to bring proposals on the definition of </w:t>
      </w:r>
      <w:r>
        <w:rPr>
          <w:i/>
          <w:iCs/>
          <w:color w:val="000000" w:themeColor="text1"/>
        </w:rPr>
        <w:t xml:space="preserve">relative RSRP and absolute RSRP. </w:t>
      </w:r>
    </w:p>
    <w:p w14:paraId="29B549D0" w14:textId="77777777" w:rsidR="00864A17" w:rsidRDefault="00CC3943">
      <w:pPr>
        <w:spacing w:after="120"/>
        <w:rPr>
          <w:i/>
          <w:iCs/>
        </w:rPr>
      </w:pPr>
      <w:r>
        <w:rPr>
          <w:i/>
          <w:iCs/>
        </w:rPr>
        <w:t>Subsequently, companies may also consider following candidate options to introduce RSRP accuracy requirements:</w:t>
      </w:r>
    </w:p>
    <w:p w14:paraId="29B549D1" w14:textId="77777777" w:rsidR="00864A17" w:rsidRDefault="00CC3943">
      <w:pPr>
        <w:pStyle w:val="ListParagraph"/>
        <w:numPr>
          <w:ilvl w:val="0"/>
          <w:numId w:val="12"/>
        </w:numPr>
        <w:snapToGrid w:val="0"/>
        <w:spacing w:after="120"/>
        <w:contextualSpacing w:val="0"/>
        <w:rPr>
          <w:i/>
          <w:iCs/>
          <w:sz w:val="24"/>
        </w:rPr>
      </w:pPr>
      <w:r>
        <w:rPr>
          <w:i/>
          <w:iCs/>
          <w:color w:val="000000" w:themeColor="text1"/>
          <w:sz w:val="24"/>
        </w:rPr>
        <w:t>Option 1: RAN4 to consider relative RSRP accuracy requirements only.</w:t>
      </w:r>
    </w:p>
    <w:p w14:paraId="29B549D2" w14:textId="77777777" w:rsidR="00864A17" w:rsidRDefault="00CC3943">
      <w:pPr>
        <w:pStyle w:val="ListParagraph"/>
        <w:numPr>
          <w:ilvl w:val="0"/>
          <w:numId w:val="12"/>
        </w:numPr>
        <w:snapToGrid w:val="0"/>
        <w:spacing w:after="120"/>
        <w:contextualSpacing w:val="0"/>
        <w:rPr>
          <w:i/>
          <w:iCs/>
          <w:sz w:val="24"/>
        </w:rPr>
      </w:pPr>
      <w:r>
        <w:rPr>
          <w:i/>
          <w:iCs/>
          <w:color w:val="000000" w:themeColor="text1"/>
          <w:sz w:val="24"/>
        </w:rPr>
        <w:t>Option 2: RAN4 to consider absolute RSRP accuracy requirements only.</w:t>
      </w:r>
    </w:p>
    <w:p w14:paraId="29B549D3" w14:textId="77777777" w:rsidR="00864A17" w:rsidRDefault="00CC3943">
      <w:pPr>
        <w:pStyle w:val="ListParagraph"/>
        <w:numPr>
          <w:ilvl w:val="0"/>
          <w:numId w:val="12"/>
        </w:numPr>
        <w:snapToGrid w:val="0"/>
        <w:spacing w:after="120"/>
        <w:contextualSpacing w:val="0"/>
        <w:rPr>
          <w:sz w:val="24"/>
        </w:rPr>
      </w:pPr>
      <w:r>
        <w:rPr>
          <w:i/>
          <w:iCs/>
          <w:color w:val="000000" w:themeColor="text1"/>
          <w:sz w:val="24"/>
        </w:rPr>
        <w:t>Option 3: RAN4 to consider both absolute and relative RSRP accuracy requirements</w:t>
      </w:r>
      <w:r>
        <w:rPr>
          <w:color w:val="000000" w:themeColor="text1"/>
          <w:sz w:val="24"/>
        </w:rPr>
        <w:t>.</w:t>
      </w:r>
    </w:p>
    <w:p w14:paraId="29B549D4" w14:textId="77777777" w:rsidR="00864A17" w:rsidRDefault="00CC3943">
      <w:pPr>
        <w:snapToGrid w:val="0"/>
        <w:spacing w:after="120"/>
        <w:rPr>
          <w:bCs/>
          <w:lang w:val="en-GB"/>
        </w:rPr>
      </w:pPr>
      <w:r>
        <w:rPr>
          <w:bCs/>
          <w:lang w:val="en-GB"/>
        </w:rPr>
        <w:t xml:space="preserve">One of the main objectives of the SI is to evaluate how well AI/ML models can predict the RRM measurements. When an AI/ML model is deployed at the UE to support mobility functionality, the UE is expected to report the predicted measurements instead of actual measurements, where the prediction is for the measurements that are defined for the network triggered L3-based mobility. Furthermore, identifying new type of measurement and framework for AI/ML based mobility is not within the scope of the SI. Therefore, we do not see a need to introduce a new definition or change the existing definition for absolute accuracy and relative accuracy of RSRP measurements for RRM measurement prediction use cases. At least not from the RAN4 point of view. Further to this, RAN4 should consider both absolute and relative RSRP accuracy requirements for the AI/ML based mobility. </w:t>
      </w:r>
    </w:p>
    <w:p w14:paraId="29B549D5" w14:textId="77777777" w:rsidR="00864A17" w:rsidRDefault="00CC3943">
      <w:pPr>
        <w:snapToGrid w:val="0"/>
        <w:spacing w:after="120"/>
        <w:rPr>
          <w:bCs/>
          <w:lang w:val="en-GB"/>
        </w:rPr>
      </w:pPr>
      <w:r>
        <w:rPr>
          <w:b/>
          <w:u w:val="single"/>
          <w:lang w:val="en-GB"/>
        </w:rPr>
        <w:br/>
        <w:t>Proposal 10</w:t>
      </w:r>
      <w:r>
        <w:rPr>
          <w:bCs/>
          <w:lang w:val="en-GB"/>
        </w:rPr>
        <w:t xml:space="preserve">: Legacy definition for absolute RSRP accuracy and relative RSRP accuracy is adopted for AI/ML based mobility. </w:t>
      </w:r>
    </w:p>
    <w:p w14:paraId="29B549D6" w14:textId="77777777" w:rsidR="00864A17" w:rsidRDefault="00CC3943">
      <w:pPr>
        <w:rPr>
          <w:bCs/>
          <w:lang w:val="en-GB"/>
        </w:rPr>
      </w:pPr>
      <w:r>
        <w:rPr>
          <w:b/>
          <w:u w:val="single"/>
          <w:lang w:val="en-GB"/>
        </w:rPr>
        <w:br/>
        <w:t>Proposal 11</w:t>
      </w:r>
      <w:r>
        <w:rPr>
          <w:bCs/>
          <w:lang w:val="en-GB"/>
        </w:rPr>
        <w:t>: RAN4 to consider both absolute and relative RSRP accuracy requirements for AI/ML based mobility.</w:t>
      </w:r>
      <w:r>
        <w:rPr>
          <w:bCs/>
          <w:lang w:val="en-GB"/>
        </w:rPr>
        <w:br/>
      </w:r>
    </w:p>
    <w:p w14:paraId="29B549D7" w14:textId="77777777" w:rsidR="00864A17" w:rsidRDefault="00CC3943">
      <w:pPr>
        <w:pStyle w:val="Heading1"/>
        <w:rPr>
          <w:lang w:val="en-US"/>
        </w:rPr>
      </w:pPr>
      <w:r>
        <w:rPr>
          <w:lang w:val="en-US"/>
        </w:rPr>
        <w:t>Summary</w:t>
      </w:r>
    </w:p>
    <w:p w14:paraId="29B549D8" w14:textId="77777777" w:rsidR="00864A17" w:rsidRDefault="00CC3943">
      <w:r>
        <w:t>In this contribution aspects related to the requirements for AI/ML based mobility are discussed. The observations and proposals below summarize the discussion presented in this paper.</w:t>
      </w:r>
    </w:p>
    <w:p w14:paraId="29B549D9" w14:textId="77777777" w:rsidR="00864A17" w:rsidRDefault="00CC3943">
      <w:pPr>
        <w:rPr>
          <w:rFonts w:ascii="Times New Roman Italic" w:hAnsi="Times New Roman Italic" w:cs="Times New Roman Italic"/>
        </w:rPr>
      </w:pPr>
      <w:r>
        <w:rPr>
          <w:rFonts w:ascii="Times New Roman Bold" w:hAnsi="Times New Roman Bold" w:cs="Times New Roman Bold"/>
          <w:b/>
          <w:bCs/>
          <w:u w:val="single"/>
        </w:rPr>
        <w:t>Observation 1</w:t>
      </w:r>
      <w:r>
        <w:t>:  Evaluation of beam level RRM measurement prediction for mobility has been de-prioritized in RAN2.</w:t>
      </w:r>
      <w:r>
        <w:rPr>
          <w:rFonts w:ascii="Times New Roman Italic" w:hAnsi="Times New Roman Italic" w:cs="Times New Roman Italic"/>
          <w:i/>
          <w:iCs/>
        </w:rPr>
        <w:br/>
      </w:r>
    </w:p>
    <w:p w14:paraId="0779FFF0" w14:textId="77777777" w:rsidR="00A85684" w:rsidRDefault="00CC3943">
      <w:r>
        <w:rPr>
          <w:b/>
          <w:bCs/>
          <w:u w:val="single"/>
        </w:rPr>
        <w:t>Proposal 1</w:t>
      </w:r>
      <w:r>
        <w:t xml:space="preserve">: RAN4 to not study the impact of beam level measurement prediction (i.e., </w:t>
      </w:r>
      <w:r>
        <w:rPr>
          <w:rFonts w:ascii="Times New Roman Italic" w:hAnsi="Times New Roman Italic" w:cs="Times New Roman Italic"/>
          <w:szCs w:val="21"/>
        </w:rPr>
        <w:t>L1 beam-level (Point A</w:t>
      </w:r>
      <w:r>
        <w:rPr>
          <w:rFonts w:ascii="Times New Roman Italic" w:hAnsi="Times New Roman Italic" w:cs="Times New Roman Italic"/>
          <w:szCs w:val="21"/>
          <w:vertAlign w:val="superscript"/>
        </w:rPr>
        <w:t>1</w:t>
      </w:r>
      <w:r>
        <w:rPr>
          <w:rFonts w:ascii="Times New Roman Italic" w:hAnsi="Times New Roman Italic" w:cs="Times New Roman Italic"/>
          <w:szCs w:val="21"/>
        </w:rPr>
        <w:t>) and L3 beam-level (Point E)</w:t>
      </w:r>
      <w:r>
        <w:t>) on RAN4 requirement unless agreed to be considered for AI/ML based mobility by RAN2.</w:t>
      </w:r>
    </w:p>
    <w:p w14:paraId="6E5C456B" w14:textId="77777777" w:rsidR="00A85684" w:rsidRDefault="00A85684" w:rsidP="00A85684">
      <w:r w:rsidRPr="00586115">
        <w:rPr>
          <w:b/>
          <w:bCs/>
          <w:u w:val="single"/>
        </w:rPr>
        <w:t>Observation 2</w:t>
      </w:r>
      <w:r>
        <w:t>: T</w:t>
      </w:r>
      <w:r w:rsidRPr="00586115">
        <w:t>he duration of OW or the number of measurements performed inside the OW has an impact on the accuracy of measurements predicted by the UE to be valid for the prediction instances inside the PW for temporal prediction cases</w:t>
      </w:r>
      <w:r>
        <w:t>.</w:t>
      </w:r>
      <w:r>
        <w:br/>
      </w:r>
    </w:p>
    <w:p w14:paraId="29B549DA" w14:textId="64E012A7" w:rsidR="00864A17" w:rsidRDefault="00A85684" w:rsidP="00A85684">
      <w:r w:rsidRPr="00242EC7">
        <w:rPr>
          <w:b/>
          <w:bCs/>
          <w:u w:val="single"/>
        </w:rPr>
        <w:lastRenderedPageBreak/>
        <w:t>Observation 3</w:t>
      </w:r>
      <w:r>
        <w:t>: P</w:t>
      </w:r>
      <w:r w:rsidRPr="00242EC7">
        <w:t>rediction accuracy in temporal prediction cases is highest in sub case 2</w:t>
      </w:r>
      <w:r>
        <w:t>.</w:t>
      </w:r>
      <w:r w:rsidR="00CC3943">
        <w:br/>
      </w:r>
    </w:p>
    <w:p w14:paraId="29B549DB" w14:textId="77777777" w:rsidR="00864A17" w:rsidRDefault="00CC3943">
      <w:r>
        <w:rPr>
          <w:b/>
          <w:bCs/>
          <w:u w:val="single"/>
        </w:rPr>
        <w:t>Proposal 2</w:t>
      </w:r>
      <w:r>
        <w:t>: RAN4 to study relationship between the OW length and PW length and the impact of the number of measurements performed within the OW on the accuracy of the predicted measurements for the instances inside the PW for temporal prediction cases.</w:t>
      </w:r>
      <w:r>
        <w:br/>
      </w:r>
      <w:r>
        <w:br/>
      </w:r>
      <w:r>
        <w:rPr>
          <w:b/>
          <w:bCs/>
          <w:u w:val="single"/>
        </w:rPr>
        <w:br/>
        <w:t>Proposal 3</w:t>
      </w:r>
      <w:r>
        <w:t>: RAN4 to prioritize sub case 2, where cell level measurements are used for the cell level RRM measurement prediction, for the requirement discussion for the temporal prediction cases.</w:t>
      </w:r>
      <w:r>
        <w:rPr>
          <w:strike/>
        </w:rPr>
        <w:br/>
      </w:r>
      <w:r>
        <w:br/>
      </w:r>
      <w:r>
        <w:rPr>
          <w:b/>
          <w:bCs/>
          <w:u w:val="single"/>
        </w:rPr>
        <w:br/>
        <w:t>Proposal 4</w:t>
      </w:r>
      <w:r>
        <w:t xml:space="preserve">: RAN4 to study the impact of measurement skipping within the OW on RAN4 requirement for temporal prediction case-B.  </w:t>
      </w:r>
      <w:r>
        <w:br/>
      </w:r>
    </w:p>
    <w:p w14:paraId="29B549DC" w14:textId="29740AAF" w:rsidR="00864A17" w:rsidRDefault="00CC3943">
      <w:r>
        <w:rPr>
          <w:b/>
          <w:bCs/>
          <w:u w:val="single"/>
        </w:rPr>
        <w:t xml:space="preserve">Observation </w:t>
      </w:r>
      <w:r w:rsidR="00A85684">
        <w:rPr>
          <w:b/>
          <w:bCs/>
          <w:u w:val="single"/>
        </w:rPr>
        <w:t>4</w:t>
      </w:r>
      <w:r>
        <w:t xml:space="preserve">: Higher the correlation coefficient between the carriers of the input and output cells, higher is the accuracy of RRM measurements predicted for the output cell in frequency prediction case (scenario 3 in prioritized scenario). </w:t>
      </w:r>
      <w:r>
        <w:br/>
      </w:r>
      <w:r>
        <w:br/>
      </w:r>
      <w:r>
        <w:rPr>
          <w:b/>
          <w:bCs/>
          <w:u w:val="single"/>
        </w:rPr>
        <w:br/>
        <w:t xml:space="preserve">Observation </w:t>
      </w:r>
      <w:r w:rsidR="00A85684">
        <w:rPr>
          <w:b/>
          <w:bCs/>
          <w:u w:val="single"/>
        </w:rPr>
        <w:t>5</w:t>
      </w:r>
      <w:r>
        <w:t>: Clustering approach (measurement from multiple cells is used for RRM measurement prediction of an output cell) provides higher prediction accuracy in comparison to the case where the measurement from single cell in one frequency is used as an input to predict the RRM measurement for an output cell in another frequency.</w:t>
      </w:r>
      <w:r>
        <w:br/>
      </w:r>
    </w:p>
    <w:p w14:paraId="29B549DD" w14:textId="77777777" w:rsidR="00864A17" w:rsidRDefault="00CC3943">
      <w:r>
        <w:rPr>
          <w:b/>
          <w:bCs/>
          <w:u w:val="single"/>
        </w:rPr>
        <w:t>Proposal 5</w:t>
      </w:r>
      <w:r>
        <w:t>: RAN4 to study the impact of frequency relationship between the measured and predicted cell on the performance of frequency domain prediction of RRM measurement for mobility.</w:t>
      </w:r>
      <w:r>
        <w:br/>
      </w:r>
    </w:p>
    <w:p w14:paraId="29B549DE" w14:textId="77777777" w:rsidR="00864A17" w:rsidRDefault="00CC3943">
      <w:pPr>
        <w:jc w:val="both"/>
      </w:pPr>
      <w:r>
        <w:rPr>
          <w:b/>
          <w:bCs/>
          <w:u w:val="single"/>
        </w:rPr>
        <w:t>Proposal 6</w:t>
      </w:r>
      <w:r>
        <w:t>: RAN4 to study requirement aspects for the following cases:</w:t>
      </w:r>
    </w:p>
    <w:p w14:paraId="29B549DF" w14:textId="77777777" w:rsidR="00864A17" w:rsidRDefault="00CC3943">
      <w:pPr>
        <w:pStyle w:val="ListParagraph"/>
        <w:numPr>
          <w:ilvl w:val="0"/>
          <w:numId w:val="19"/>
        </w:numPr>
        <w:rPr>
          <w:sz w:val="24"/>
          <w:szCs w:val="28"/>
          <w:lang w:val="en-US"/>
        </w:rPr>
      </w:pPr>
      <w:r>
        <w:rPr>
          <w:sz w:val="24"/>
          <w:szCs w:val="28"/>
          <w:lang w:val="en-US"/>
        </w:rPr>
        <w:t>When measurement from single cell in one carrier frequency is used by the UE as an input to predict the RRM measurement for the intra-FR and co-located cell in another carrier frequency.</w:t>
      </w:r>
      <w:r>
        <w:rPr>
          <w:sz w:val="24"/>
          <w:szCs w:val="28"/>
          <w:lang w:val="en-US"/>
        </w:rPr>
        <w:br/>
      </w:r>
    </w:p>
    <w:p w14:paraId="29B549E0" w14:textId="77777777" w:rsidR="00864A17" w:rsidRDefault="00CC3943">
      <w:pPr>
        <w:pStyle w:val="ListParagraph"/>
        <w:numPr>
          <w:ilvl w:val="0"/>
          <w:numId w:val="19"/>
        </w:numPr>
        <w:rPr>
          <w:sz w:val="24"/>
          <w:szCs w:val="28"/>
          <w:lang w:val="en-US"/>
        </w:rPr>
      </w:pPr>
      <w:r>
        <w:rPr>
          <w:sz w:val="24"/>
          <w:szCs w:val="28"/>
          <w:lang w:val="en-US"/>
        </w:rPr>
        <w:t>When measurement from a group of cells in one carrier frequency is used by the UE as an input to predict the RRM measurement for the intra-FR and co-located cell in another carrier frequency.</w:t>
      </w:r>
    </w:p>
    <w:p w14:paraId="29B549E1" w14:textId="7031911D" w:rsidR="00864A17" w:rsidRDefault="00CC3943">
      <w:r>
        <w:rPr>
          <w:b/>
          <w:bCs/>
          <w:u w:val="single"/>
        </w:rPr>
        <w:br/>
        <w:t xml:space="preserve">Observation </w:t>
      </w:r>
      <w:r w:rsidR="00A85684">
        <w:rPr>
          <w:b/>
          <w:bCs/>
          <w:u w:val="single"/>
        </w:rPr>
        <w:t>6</w:t>
      </w:r>
      <w:r>
        <w:t>: Reporting delay requirement defined for the legacy event triggered reporting may not hold true for the event prediction case.</w:t>
      </w:r>
      <w:r>
        <w:br/>
      </w:r>
    </w:p>
    <w:p w14:paraId="29B549E2" w14:textId="77777777" w:rsidR="00864A17" w:rsidRDefault="00CC3943">
      <w:r>
        <w:rPr>
          <w:b/>
          <w:bCs/>
          <w:u w:val="single"/>
        </w:rPr>
        <w:t>Proposal 7</w:t>
      </w:r>
      <w:r>
        <w:t>: RAN4 to study reporting delay requirement for predicted event triggered reporting.</w:t>
      </w:r>
    </w:p>
    <w:p w14:paraId="29B549E3" w14:textId="77777777" w:rsidR="00864A17" w:rsidRDefault="00CC3943">
      <w:r>
        <w:br/>
      </w:r>
      <w:r>
        <w:rPr>
          <w:b/>
          <w:bCs/>
          <w:u w:val="single"/>
        </w:rPr>
        <w:t>Proposal 8</w:t>
      </w:r>
      <w:r>
        <w:t xml:space="preserve">: Performance requirement for direct event prediction needs to be defined for event </w:t>
      </w:r>
      <w:r>
        <w:lastRenderedPageBreak/>
        <w:t>prediction.</w:t>
      </w:r>
      <w:r>
        <w:br/>
      </w:r>
    </w:p>
    <w:p w14:paraId="29B549E4" w14:textId="77777777" w:rsidR="00864A17" w:rsidRDefault="00CC3943">
      <w:r>
        <w:rPr>
          <w:b/>
          <w:bCs/>
          <w:u w:val="single"/>
        </w:rPr>
        <w:t>Proposal 9</w:t>
      </w:r>
      <w:r>
        <w:t>: RAN4 discussion on RLF prediction requirement shall start after sufficient progress has been made in RAN2.</w:t>
      </w:r>
      <w:r>
        <w:br/>
      </w:r>
    </w:p>
    <w:p w14:paraId="29B549E5" w14:textId="77777777" w:rsidR="00864A17" w:rsidRDefault="00CC3943">
      <w:pPr>
        <w:snapToGrid w:val="0"/>
        <w:spacing w:after="120"/>
        <w:rPr>
          <w:bCs/>
          <w:lang w:val="en-GB"/>
        </w:rPr>
      </w:pPr>
      <w:r>
        <w:rPr>
          <w:b/>
          <w:u w:val="single"/>
          <w:lang w:val="en-GB"/>
        </w:rPr>
        <w:t>Proposal 10</w:t>
      </w:r>
      <w:r>
        <w:rPr>
          <w:bCs/>
          <w:lang w:val="en-GB"/>
        </w:rPr>
        <w:t xml:space="preserve">: Legacy definition for absolute RSRP accuracy and relative RSRP accuracy is adopted for AI/ML based mobility. </w:t>
      </w:r>
    </w:p>
    <w:p w14:paraId="29B549E6" w14:textId="77777777" w:rsidR="00864A17" w:rsidRDefault="00CC3943">
      <w:pPr>
        <w:rPr>
          <w:color w:val="FF0000"/>
        </w:rPr>
      </w:pPr>
      <w:r>
        <w:rPr>
          <w:b/>
          <w:u w:val="single"/>
          <w:lang w:val="en-GB"/>
        </w:rPr>
        <w:br/>
        <w:t>Proposal 11</w:t>
      </w:r>
      <w:r>
        <w:rPr>
          <w:bCs/>
          <w:lang w:val="en-GB"/>
        </w:rPr>
        <w:t>: RAN4 to consider both absolute and relative RSRP accuracy requirements for AI/ML based mobility.</w:t>
      </w:r>
      <w:r>
        <w:rPr>
          <w:bCs/>
          <w:lang w:val="en-GB"/>
        </w:rPr>
        <w:br/>
      </w:r>
    </w:p>
    <w:p w14:paraId="29B549E7" w14:textId="77777777" w:rsidR="00864A17" w:rsidRDefault="00CC3943">
      <w:pPr>
        <w:pStyle w:val="Heading1"/>
        <w:tabs>
          <w:tab w:val="left" w:pos="432"/>
        </w:tabs>
        <w:ind w:left="432" w:right="72" w:hanging="432"/>
        <w:rPr>
          <w:lang w:val="en-US"/>
        </w:rPr>
      </w:pPr>
      <w:r>
        <w:rPr>
          <w:lang w:val="en-US"/>
        </w:rPr>
        <w:t>References</w:t>
      </w:r>
    </w:p>
    <w:p w14:paraId="29B549E8" w14:textId="77777777" w:rsidR="00864A17" w:rsidRDefault="00CC3943">
      <w:pPr>
        <w:numPr>
          <w:ilvl w:val="0"/>
          <w:numId w:val="22"/>
        </w:numPr>
      </w:pPr>
      <w:r>
        <w:t>R4-2416855, WF on AI/ML Mobility, Moderator (Nokia).</w:t>
      </w:r>
    </w:p>
    <w:p w14:paraId="29B549E9" w14:textId="77777777" w:rsidR="00864A17" w:rsidRDefault="00CC3943">
      <w:pPr>
        <w:numPr>
          <w:ilvl w:val="0"/>
          <w:numId w:val="22"/>
        </w:numPr>
      </w:pPr>
      <w:r>
        <w:t>TS38.300, Stage 2: NR and NG-RAN Overall Description, 3GPP.</w:t>
      </w:r>
    </w:p>
    <w:p w14:paraId="29B549EA" w14:textId="77777777" w:rsidR="00864A17" w:rsidRDefault="00CC3943">
      <w:pPr>
        <w:numPr>
          <w:ilvl w:val="0"/>
          <w:numId w:val="22"/>
        </w:numPr>
      </w:pPr>
      <w:r>
        <w:t>Chair’s note from RAN2#127bis, RAN2 Chair (InterDigital).</w:t>
      </w:r>
    </w:p>
    <w:p w14:paraId="29B549EB" w14:textId="77777777" w:rsidR="00864A17" w:rsidRDefault="00CC3943">
      <w:pPr>
        <w:numPr>
          <w:ilvl w:val="0"/>
          <w:numId w:val="22"/>
        </w:numPr>
      </w:pPr>
      <w:r>
        <w:t>Chair’s note from RAN2#128, RAN2 Chair (InterDigital).</w:t>
      </w:r>
    </w:p>
    <w:p w14:paraId="29B549EC" w14:textId="77777777" w:rsidR="00864A17" w:rsidRDefault="00CC3943">
      <w:pPr>
        <w:numPr>
          <w:ilvl w:val="0"/>
          <w:numId w:val="22"/>
        </w:numPr>
      </w:pPr>
      <w:r>
        <w:t>R4-2420095, WF on AI/ML Mobility, Moderator (Nokia).</w:t>
      </w:r>
      <w:bookmarkEnd w:id="0"/>
      <w:bookmarkEnd w:id="1"/>
    </w:p>
    <w:sectPr w:rsidR="00864A1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54A01" w14:textId="77777777" w:rsidR="00CC3943" w:rsidRDefault="00CC3943">
      <w:pPr>
        <w:spacing w:before="0" w:after="0"/>
      </w:pPr>
      <w:r>
        <w:separator/>
      </w:r>
    </w:p>
  </w:endnote>
  <w:endnote w:type="continuationSeparator" w:id="0">
    <w:p w14:paraId="29B54A03" w14:textId="77777777" w:rsidR="00CC3943" w:rsidRDefault="00CC394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New Roman Bold Italic">
    <w:altName w:val="Times New Roman"/>
    <w:panose1 w:val="020B0604020202020204"/>
    <w:charset w:val="00"/>
    <w:family w:val="auto"/>
    <w:pitch w:val="default"/>
    <w:sig w:usb0="E0002AEF" w:usb1="C0007841" w:usb2="00000009" w:usb3="00000000" w:csb0="400001FF" w:csb1="FFFF0000"/>
  </w:font>
  <w:font w:name="Times New Roman Italic">
    <w:altName w:val="Times New Roman"/>
    <w:panose1 w:val="020B0604020202020204"/>
    <w:charset w:val="00"/>
    <w:family w:val="auto"/>
    <w:pitch w:val="default"/>
    <w:sig w:usb0="E0002AEF" w:usb1="C0007841" w:usb2="00000009" w:usb3="00000000" w:csb0="400001FF" w:csb1="FFFF0000"/>
  </w:font>
  <w:font w:name="Times New Roman Bold">
    <w:altName w:val="Times New Roman"/>
    <w:panose1 w:val="020B0604020202020204"/>
    <w:charset w:val="00"/>
    <w:family w:val="auto"/>
    <w:pitch w:val="default"/>
    <w:sig w:usb0="E0002AEF" w:usb1="C0007841" w:usb2="00000009" w:usb3="00000000" w:csb0="400001FF" w:csb1="FFFF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549FA" w14:textId="77777777" w:rsidR="00864A17" w:rsidRDefault="00CC3943">
      <w:pPr>
        <w:spacing w:before="0" w:after="0"/>
      </w:pPr>
      <w:r>
        <w:separator/>
      </w:r>
    </w:p>
  </w:footnote>
  <w:footnote w:type="continuationSeparator" w:id="0">
    <w:p w14:paraId="29B549FB" w14:textId="77777777" w:rsidR="00864A17" w:rsidRDefault="00CC394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49FC" w14:textId="77777777" w:rsidR="00864A17" w:rsidRDefault="00864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49FD" w14:textId="77777777" w:rsidR="00864A17" w:rsidRDefault="00CC394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49FE" w14:textId="77777777" w:rsidR="00864A17" w:rsidRDefault="00864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FF134D"/>
    <w:multiLevelType w:val="multilevel"/>
    <w:tmpl w:val="92FF134D"/>
    <w:lvl w:ilvl="0">
      <w:start w:val="1"/>
      <w:numFmt w:val="bullet"/>
      <w:lvlText w:val=""/>
      <w:lvlJc w:val="left"/>
      <w:pPr>
        <w:tabs>
          <w:tab w:val="left" w:pos="420"/>
        </w:tabs>
        <w:ind w:left="420" w:hanging="420"/>
      </w:pPr>
      <w:rPr>
        <w:rFonts w:ascii="Wingdings" w:hAnsi="Wingdings" w:hint="default"/>
        <w:sz w:val="14"/>
        <w:szCs w:val="14"/>
      </w:rPr>
    </w:lvl>
    <w:lvl w:ilvl="1">
      <w:start w:val="1"/>
      <w:numFmt w:val="bullet"/>
      <w:lvlText w:val=""/>
      <w:lvlJc w:val="left"/>
      <w:pPr>
        <w:tabs>
          <w:tab w:val="left" w:pos="840"/>
        </w:tabs>
        <w:ind w:left="840" w:hanging="420"/>
      </w:pPr>
      <w:rPr>
        <w:rFonts w:ascii="Wingdings" w:hAnsi="Wingdings" w:hint="default"/>
        <w:sz w:val="15"/>
        <w:szCs w:val="15"/>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7F5C9B"/>
    <w:multiLevelType w:val="singleLevel"/>
    <w:tmpl w:val="FD7F5C9B"/>
    <w:lvl w:ilvl="0">
      <w:start w:val="1"/>
      <w:numFmt w:val="bullet"/>
      <w:lvlText w:val=""/>
      <w:lvlJc w:val="left"/>
      <w:pPr>
        <w:tabs>
          <w:tab w:val="left" w:pos="420"/>
        </w:tabs>
        <w:ind w:left="420" w:hanging="420"/>
      </w:pPr>
      <w:rPr>
        <w:rFonts w:ascii="Wingdings" w:hAnsi="Wingdings" w:hint="default"/>
        <w:sz w:val="16"/>
        <w:szCs w:val="16"/>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BF0640"/>
    <w:multiLevelType w:val="multilevel"/>
    <w:tmpl w:val="11BF0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A3C0AE8"/>
    <w:multiLevelType w:val="multilevel"/>
    <w:tmpl w:val="2A3C0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20254C"/>
    <w:multiLevelType w:val="multilevel"/>
    <w:tmpl w:val="2F2025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1157B1"/>
    <w:multiLevelType w:val="multilevel"/>
    <w:tmpl w:val="491157B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B53BD3"/>
    <w:multiLevelType w:val="multilevel"/>
    <w:tmpl w:val="52B53B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01D7C87"/>
    <w:multiLevelType w:val="multilevel"/>
    <w:tmpl w:val="601D7C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68C4D16"/>
    <w:multiLevelType w:val="multilevel"/>
    <w:tmpl w:val="668C4D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6FEEA5F9"/>
    <w:multiLevelType w:val="singleLevel"/>
    <w:tmpl w:val="6FEEA5F9"/>
    <w:lvl w:ilvl="0">
      <w:start w:val="1"/>
      <w:numFmt w:val="decimal"/>
      <w:suff w:val="space"/>
      <w:lvlText w:val="%1."/>
      <w:lvlJc w:val="left"/>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763219">
    <w:abstractNumId w:val="3"/>
  </w:num>
  <w:num w:numId="2" w16cid:durableId="639264653">
    <w:abstractNumId w:val="9"/>
  </w:num>
  <w:num w:numId="3" w16cid:durableId="115217871">
    <w:abstractNumId w:val="19"/>
  </w:num>
  <w:num w:numId="4" w16cid:durableId="1724862815">
    <w:abstractNumId w:val="21"/>
  </w:num>
  <w:num w:numId="5" w16cid:durableId="1343164534">
    <w:abstractNumId w:val="5"/>
  </w:num>
  <w:num w:numId="6" w16cid:durableId="295070061">
    <w:abstractNumId w:val="12"/>
  </w:num>
  <w:num w:numId="7" w16cid:durableId="1851262280">
    <w:abstractNumId w:val="7"/>
  </w:num>
  <w:num w:numId="8" w16cid:durableId="670764807">
    <w:abstractNumId w:val="2"/>
  </w:num>
  <w:num w:numId="9" w16cid:durableId="1888100179">
    <w:abstractNumId w:val="11"/>
  </w:num>
  <w:num w:numId="10" w16cid:durableId="1457915205">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4951200">
    <w:abstractNumId w:val="14"/>
  </w:num>
  <w:num w:numId="12" w16cid:durableId="1719545310">
    <w:abstractNumId w:val="16"/>
  </w:num>
  <w:num w:numId="13" w16cid:durableId="1857881356">
    <w:abstractNumId w:val="0"/>
  </w:num>
  <w:num w:numId="14" w16cid:durableId="1829326225">
    <w:abstractNumId w:val="17"/>
  </w:num>
  <w:num w:numId="15" w16cid:durableId="1905221114">
    <w:abstractNumId w:val="1"/>
  </w:num>
  <w:num w:numId="16" w16cid:durableId="1699161544">
    <w:abstractNumId w:val="18"/>
  </w:num>
  <w:num w:numId="17" w16cid:durableId="1485002846">
    <w:abstractNumId w:val="13"/>
  </w:num>
  <w:num w:numId="18" w16cid:durableId="2010206510">
    <w:abstractNumId w:val="6"/>
  </w:num>
  <w:num w:numId="19" w16cid:durableId="1406338160">
    <w:abstractNumId w:val="4"/>
  </w:num>
  <w:num w:numId="20" w16cid:durableId="914165539">
    <w:abstractNumId w:val="8"/>
  </w:num>
  <w:num w:numId="21" w16cid:durableId="1425690016">
    <w:abstractNumId w:val="15"/>
  </w:num>
  <w:num w:numId="22" w16cid:durableId="6443533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FBD6502"/>
    <w:rsid w:val="BFEB5468"/>
    <w:rsid w:val="C67DA37E"/>
    <w:rsid w:val="CBF14633"/>
    <w:rsid w:val="CEF38BE6"/>
    <w:rsid w:val="CF7D8A9F"/>
    <w:rsid w:val="D7FBCDBA"/>
    <w:rsid w:val="D7FE4A21"/>
    <w:rsid w:val="DCFF7BE4"/>
    <w:rsid w:val="DD770ADA"/>
    <w:rsid w:val="DD7FFC86"/>
    <w:rsid w:val="DF1F7E20"/>
    <w:rsid w:val="DF7D91C7"/>
    <w:rsid w:val="DFDE954F"/>
    <w:rsid w:val="DFFD1BE1"/>
    <w:rsid w:val="DFFDA27D"/>
    <w:rsid w:val="DFFF0B09"/>
    <w:rsid w:val="E19DD21E"/>
    <w:rsid w:val="E1BF61AA"/>
    <w:rsid w:val="E57325AE"/>
    <w:rsid w:val="E6FC999F"/>
    <w:rsid w:val="E6FD793A"/>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609EA"/>
    <w:rsid w:val="FBFBF1B4"/>
    <w:rsid w:val="FCDEE311"/>
    <w:rsid w:val="FD4D6359"/>
    <w:rsid w:val="FDBAF64B"/>
    <w:rsid w:val="FDBE6577"/>
    <w:rsid w:val="FDDE772A"/>
    <w:rsid w:val="FDEE92C1"/>
    <w:rsid w:val="FDFBD7C5"/>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 w:val="0000068D"/>
    <w:rsid w:val="0000141C"/>
    <w:rsid w:val="000015D2"/>
    <w:rsid w:val="000030EC"/>
    <w:rsid w:val="00005A98"/>
    <w:rsid w:val="0000623B"/>
    <w:rsid w:val="00006F6D"/>
    <w:rsid w:val="000070AC"/>
    <w:rsid w:val="00007C60"/>
    <w:rsid w:val="000103FB"/>
    <w:rsid w:val="000107F8"/>
    <w:rsid w:val="00011996"/>
    <w:rsid w:val="00011B19"/>
    <w:rsid w:val="0001285F"/>
    <w:rsid w:val="00012898"/>
    <w:rsid w:val="00013C06"/>
    <w:rsid w:val="00013F26"/>
    <w:rsid w:val="000144E4"/>
    <w:rsid w:val="0001522D"/>
    <w:rsid w:val="00016C2F"/>
    <w:rsid w:val="000172F7"/>
    <w:rsid w:val="0002174F"/>
    <w:rsid w:val="00022E4A"/>
    <w:rsid w:val="00023765"/>
    <w:rsid w:val="00023919"/>
    <w:rsid w:val="0002404C"/>
    <w:rsid w:val="00024174"/>
    <w:rsid w:val="00024E51"/>
    <w:rsid w:val="000259D2"/>
    <w:rsid w:val="00025FD8"/>
    <w:rsid w:val="0002662B"/>
    <w:rsid w:val="00026C83"/>
    <w:rsid w:val="00027098"/>
    <w:rsid w:val="00030C3E"/>
    <w:rsid w:val="00031F2A"/>
    <w:rsid w:val="00032119"/>
    <w:rsid w:val="0003246F"/>
    <w:rsid w:val="00033E41"/>
    <w:rsid w:val="00034BDF"/>
    <w:rsid w:val="000359F5"/>
    <w:rsid w:val="00035AB6"/>
    <w:rsid w:val="00035CBE"/>
    <w:rsid w:val="0003605D"/>
    <w:rsid w:val="0003609A"/>
    <w:rsid w:val="00036E07"/>
    <w:rsid w:val="0003727D"/>
    <w:rsid w:val="00037C15"/>
    <w:rsid w:val="0004086E"/>
    <w:rsid w:val="00041AE2"/>
    <w:rsid w:val="00041F23"/>
    <w:rsid w:val="00042B3E"/>
    <w:rsid w:val="000435A1"/>
    <w:rsid w:val="00043D0A"/>
    <w:rsid w:val="0004623E"/>
    <w:rsid w:val="00046312"/>
    <w:rsid w:val="00046606"/>
    <w:rsid w:val="0004719A"/>
    <w:rsid w:val="00047B98"/>
    <w:rsid w:val="00050B22"/>
    <w:rsid w:val="00051902"/>
    <w:rsid w:val="0005208A"/>
    <w:rsid w:val="0005222D"/>
    <w:rsid w:val="000523CD"/>
    <w:rsid w:val="00052C82"/>
    <w:rsid w:val="000531BE"/>
    <w:rsid w:val="000545C3"/>
    <w:rsid w:val="00057D78"/>
    <w:rsid w:val="00060651"/>
    <w:rsid w:val="000618A8"/>
    <w:rsid w:val="00061A22"/>
    <w:rsid w:val="00062051"/>
    <w:rsid w:val="0006257A"/>
    <w:rsid w:val="00062F8D"/>
    <w:rsid w:val="000630AA"/>
    <w:rsid w:val="00064C5B"/>
    <w:rsid w:val="00065BBE"/>
    <w:rsid w:val="00066172"/>
    <w:rsid w:val="00066B6B"/>
    <w:rsid w:val="0006721D"/>
    <w:rsid w:val="00067EF8"/>
    <w:rsid w:val="00070491"/>
    <w:rsid w:val="00071AB8"/>
    <w:rsid w:val="00074D82"/>
    <w:rsid w:val="00075767"/>
    <w:rsid w:val="00075C65"/>
    <w:rsid w:val="000763F2"/>
    <w:rsid w:val="000769F2"/>
    <w:rsid w:val="00076FBA"/>
    <w:rsid w:val="00077C74"/>
    <w:rsid w:val="00077DAB"/>
    <w:rsid w:val="00080AD4"/>
    <w:rsid w:val="00081D77"/>
    <w:rsid w:val="00083068"/>
    <w:rsid w:val="000832F8"/>
    <w:rsid w:val="0008393A"/>
    <w:rsid w:val="00083E14"/>
    <w:rsid w:val="00085398"/>
    <w:rsid w:val="00087496"/>
    <w:rsid w:val="000875E2"/>
    <w:rsid w:val="00087753"/>
    <w:rsid w:val="0008780D"/>
    <w:rsid w:val="00087848"/>
    <w:rsid w:val="00087B1C"/>
    <w:rsid w:val="000901D4"/>
    <w:rsid w:val="00091CC8"/>
    <w:rsid w:val="00092FEF"/>
    <w:rsid w:val="0009363F"/>
    <w:rsid w:val="00093989"/>
    <w:rsid w:val="0009406D"/>
    <w:rsid w:val="00095516"/>
    <w:rsid w:val="00096A2E"/>
    <w:rsid w:val="00097B04"/>
    <w:rsid w:val="000A0386"/>
    <w:rsid w:val="000A2919"/>
    <w:rsid w:val="000A34D3"/>
    <w:rsid w:val="000A3831"/>
    <w:rsid w:val="000A3973"/>
    <w:rsid w:val="000A429E"/>
    <w:rsid w:val="000A481F"/>
    <w:rsid w:val="000A5303"/>
    <w:rsid w:val="000A57B7"/>
    <w:rsid w:val="000A616B"/>
    <w:rsid w:val="000A6394"/>
    <w:rsid w:val="000A68BE"/>
    <w:rsid w:val="000A7063"/>
    <w:rsid w:val="000B0799"/>
    <w:rsid w:val="000B0E09"/>
    <w:rsid w:val="000B293C"/>
    <w:rsid w:val="000B38CE"/>
    <w:rsid w:val="000B42D7"/>
    <w:rsid w:val="000B4B08"/>
    <w:rsid w:val="000B4F0E"/>
    <w:rsid w:val="000B6484"/>
    <w:rsid w:val="000B6E49"/>
    <w:rsid w:val="000B7FED"/>
    <w:rsid w:val="000C038A"/>
    <w:rsid w:val="000C067B"/>
    <w:rsid w:val="000C1BA0"/>
    <w:rsid w:val="000C2588"/>
    <w:rsid w:val="000C3D56"/>
    <w:rsid w:val="000C46E3"/>
    <w:rsid w:val="000C473A"/>
    <w:rsid w:val="000C4779"/>
    <w:rsid w:val="000C59D8"/>
    <w:rsid w:val="000C6598"/>
    <w:rsid w:val="000C67FF"/>
    <w:rsid w:val="000C68E4"/>
    <w:rsid w:val="000C6CBC"/>
    <w:rsid w:val="000C7673"/>
    <w:rsid w:val="000C7F40"/>
    <w:rsid w:val="000D0661"/>
    <w:rsid w:val="000D0A29"/>
    <w:rsid w:val="000D2A33"/>
    <w:rsid w:val="000D44B3"/>
    <w:rsid w:val="000D51D3"/>
    <w:rsid w:val="000D54B8"/>
    <w:rsid w:val="000D5E43"/>
    <w:rsid w:val="000D60D3"/>
    <w:rsid w:val="000D79BE"/>
    <w:rsid w:val="000E08B8"/>
    <w:rsid w:val="000E117A"/>
    <w:rsid w:val="000E4392"/>
    <w:rsid w:val="000E5542"/>
    <w:rsid w:val="000E5B17"/>
    <w:rsid w:val="000E6B64"/>
    <w:rsid w:val="000F0081"/>
    <w:rsid w:val="000F0826"/>
    <w:rsid w:val="000F0EAC"/>
    <w:rsid w:val="000F287A"/>
    <w:rsid w:val="000F290D"/>
    <w:rsid w:val="000F29EA"/>
    <w:rsid w:val="000F41D7"/>
    <w:rsid w:val="000F4794"/>
    <w:rsid w:val="000F497D"/>
    <w:rsid w:val="000F5841"/>
    <w:rsid w:val="000F747A"/>
    <w:rsid w:val="000F7745"/>
    <w:rsid w:val="000F7913"/>
    <w:rsid w:val="000F7D52"/>
    <w:rsid w:val="0010038D"/>
    <w:rsid w:val="00101B6E"/>
    <w:rsid w:val="001021FB"/>
    <w:rsid w:val="0010321F"/>
    <w:rsid w:val="001049D7"/>
    <w:rsid w:val="00104EF2"/>
    <w:rsid w:val="00105211"/>
    <w:rsid w:val="00107087"/>
    <w:rsid w:val="0010746F"/>
    <w:rsid w:val="0011041F"/>
    <w:rsid w:val="001125B8"/>
    <w:rsid w:val="00112FB5"/>
    <w:rsid w:val="00114A62"/>
    <w:rsid w:val="00114F62"/>
    <w:rsid w:val="00115D06"/>
    <w:rsid w:val="00116738"/>
    <w:rsid w:val="00116A9B"/>
    <w:rsid w:val="0012103D"/>
    <w:rsid w:val="0012136B"/>
    <w:rsid w:val="00121C71"/>
    <w:rsid w:val="001235AC"/>
    <w:rsid w:val="00124505"/>
    <w:rsid w:val="00124FA7"/>
    <w:rsid w:val="00126F11"/>
    <w:rsid w:val="001271CB"/>
    <w:rsid w:val="00130342"/>
    <w:rsid w:val="0013376F"/>
    <w:rsid w:val="00134260"/>
    <w:rsid w:val="00134DD3"/>
    <w:rsid w:val="001356BB"/>
    <w:rsid w:val="0013603A"/>
    <w:rsid w:val="00136F04"/>
    <w:rsid w:val="00137276"/>
    <w:rsid w:val="001379EE"/>
    <w:rsid w:val="0014100E"/>
    <w:rsid w:val="0014350F"/>
    <w:rsid w:val="001442DB"/>
    <w:rsid w:val="001454AD"/>
    <w:rsid w:val="001459C4"/>
    <w:rsid w:val="00145C48"/>
    <w:rsid w:val="00145D43"/>
    <w:rsid w:val="00147C24"/>
    <w:rsid w:val="00150FE6"/>
    <w:rsid w:val="00151450"/>
    <w:rsid w:val="0015170F"/>
    <w:rsid w:val="00151B73"/>
    <w:rsid w:val="001520B0"/>
    <w:rsid w:val="001523F0"/>
    <w:rsid w:val="001526C3"/>
    <w:rsid w:val="00152B7B"/>
    <w:rsid w:val="00153E83"/>
    <w:rsid w:val="001546D6"/>
    <w:rsid w:val="00154A26"/>
    <w:rsid w:val="00154D5D"/>
    <w:rsid w:val="00157064"/>
    <w:rsid w:val="00157304"/>
    <w:rsid w:val="00161798"/>
    <w:rsid w:val="00161CB1"/>
    <w:rsid w:val="00161D16"/>
    <w:rsid w:val="00163371"/>
    <w:rsid w:val="00163DBA"/>
    <w:rsid w:val="00163EAA"/>
    <w:rsid w:val="00164E71"/>
    <w:rsid w:val="00165062"/>
    <w:rsid w:val="001652AF"/>
    <w:rsid w:val="001656F4"/>
    <w:rsid w:val="001665D2"/>
    <w:rsid w:val="00166A7C"/>
    <w:rsid w:val="00167963"/>
    <w:rsid w:val="0017079E"/>
    <w:rsid w:val="00171D66"/>
    <w:rsid w:val="00172557"/>
    <w:rsid w:val="0017260D"/>
    <w:rsid w:val="00172AF0"/>
    <w:rsid w:val="0017439A"/>
    <w:rsid w:val="0017714C"/>
    <w:rsid w:val="001807FE"/>
    <w:rsid w:val="0018176D"/>
    <w:rsid w:val="00181C2F"/>
    <w:rsid w:val="00185F48"/>
    <w:rsid w:val="001868E3"/>
    <w:rsid w:val="00186AF0"/>
    <w:rsid w:val="00186D7F"/>
    <w:rsid w:val="001877F0"/>
    <w:rsid w:val="00187FF8"/>
    <w:rsid w:val="00190041"/>
    <w:rsid w:val="00192C46"/>
    <w:rsid w:val="00192CCB"/>
    <w:rsid w:val="00192EFE"/>
    <w:rsid w:val="00193067"/>
    <w:rsid w:val="0019402A"/>
    <w:rsid w:val="001944C9"/>
    <w:rsid w:val="001945F3"/>
    <w:rsid w:val="00194E4D"/>
    <w:rsid w:val="00195111"/>
    <w:rsid w:val="0019515A"/>
    <w:rsid w:val="0019521C"/>
    <w:rsid w:val="0019640E"/>
    <w:rsid w:val="0019766D"/>
    <w:rsid w:val="001A08B3"/>
    <w:rsid w:val="001A1351"/>
    <w:rsid w:val="001A1A3E"/>
    <w:rsid w:val="001A20D3"/>
    <w:rsid w:val="001A20DB"/>
    <w:rsid w:val="001A3097"/>
    <w:rsid w:val="001A59F6"/>
    <w:rsid w:val="001A5D42"/>
    <w:rsid w:val="001A5EFD"/>
    <w:rsid w:val="001A65DE"/>
    <w:rsid w:val="001A6A19"/>
    <w:rsid w:val="001A7B60"/>
    <w:rsid w:val="001A7F66"/>
    <w:rsid w:val="001B0B8F"/>
    <w:rsid w:val="001B0F00"/>
    <w:rsid w:val="001B1102"/>
    <w:rsid w:val="001B1431"/>
    <w:rsid w:val="001B22F8"/>
    <w:rsid w:val="001B24E5"/>
    <w:rsid w:val="001B266C"/>
    <w:rsid w:val="001B3DEC"/>
    <w:rsid w:val="001B41B2"/>
    <w:rsid w:val="001B47CF"/>
    <w:rsid w:val="001B52F0"/>
    <w:rsid w:val="001B5496"/>
    <w:rsid w:val="001B6B27"/>
    <w:rsid w:val="001B7A65"/>
    <w:rsid w:val="001B7BCF"/>
    <w:rsid w:val="001B7E8A"/>
    <w:rsid w:val="001C02B6"/>
    <w:rsid w:val="001C0830"/>
    <w:rsid w:val="001C0B0B"/>
    <w:rsid w:val="001C1BF5"/>
    <w:rsid w:val="001C336F"/>
    <w:rsid w:val="001C3E3B"/>
    <w:rsid w:val="001C44EF"/>
    <w:rsid w:val="001C4594"/>
    <w:rsid w:val="001C4EB4"/>
    <w:rsid w:val="001C53ED"/>
    <w:rsid w:val="001C5C4A"/>
    <w:rsid w:val="001C5CC1"/>
    <w:rsid w:val="001C66EF"/>
    <w:rsid w:val="001C7237"/>
    <w:rsid w:val="001C7D9C"/>
    <w:rsid w:val="001D299B"/>
    <w:rsid w:val="001D32B7"/>
    <w:rsid w:val="001D3FD8"/>
    <w:rsid w:val="001D4534"/>
    <w:rsid w:val="001D5D7D"/>
    <w:rsid w:val="001D616E"/>
    <w:rsid w:val="001D6FFE"/>
    <w:rsid w:val="001E009A"/>
    <w:rsid w:val="001E0E2E"/>
    <w:rsid w:val="001E1091"/>
    <w:rsid w:val="001E2EF9"/>
    <w:rsid w:val="001E323B"/>
    <w:rsid w:val="001E3700"/>
    <w:rsid w:val="001E37BE"/>
    <w:rsid w:val="001E41F3"/>
    <w:rsid w:val="001E7EFD"/>
    <w:rsid w:val="001F0596"/>
    <w:rsid w:val="001F231B"/>
    <w:rsid w:val="001F3EE8"/>
    <w:rsid w:val="001F5159"/>
    <w:rsid w:val="001F6378"/>
    <w:rsid w:val="001F76C0"/>
    <w:rsid w:val="001F7906"/>
    <w:rsid w:val="00200F22"/>
    <w:rsid w:val="00201A66"/>
    <w:rsid w:val="00202F05"/>
    <w:rsid w:val="00203702"/>
    <w:rsid w:val="002038DB"/>
    <w:rsid w:val="00205A4C"/>
    <w:rsid w:val="00205D60"/>
    <w:rsid w:val="00206063"/>
    <w:rsid w:val="00206474"/>
    <w:rsid w:val="002064A8"/>
    <w:rsid w:val="00207D52"/>
    <w:rsid w:val="00212EDF"/>
    <w:rsid w:val="00216174"/>
    <w:rsid w:val="0021718F"/>
    <w:rsid w:val="00221A04"/>
    <w:rsid w:val="0022200C"/>
    <w:rsid w:val="00222E5B"/>
    <w:rsid w:val="00223B2A"/>
    <w:rsid w:val="00224B7F"/>
    <w:rsid w:val="00224CFE"/>
    <w:rsid w:val="00225A8F"/>
    <w:rsid w:val="00225DF4"/>
    <w:rsid w:val="002271C9"/>
    <w:rsid w:val="00227D53"/>
    <w:rsid w:val="00230A65"/>
    <w:rsid w:val="0023260C"/>
    <w:rsid w:val="00232B41"/>
    <w:rsid w:val="00232E7E"/>
    <w:rsid w:val="00233741"/>
    <w:rsid w:val="002355C5"/>
    <w:rsid w:val="00236B69"/>
    <w:rsid w:val="002373C0"/>
    <w:rsid w:val="00240411"/>
    <w:rsid w:val="00240CB7"/>
    <w:rsid w:val="00240CF2"/>
    <w:rsid w:val="00240D23"/>
    <w:rsid w:val="00240F93"/>
    <w:rsid w:val="002412A3"/>
    <w:rsid w:val="00241DF7"/>
    <w:rsid w:val="002425C8"/>
    <w:rsid w:val="00242EC7"/>
    <w:rsid w:val="00242FD8"/>
    <w:rsid w:val="0024312A"/>
    <w:rsid w:val="0024337C"/>
    <w:rsid w:val="002433A5"/>
    <w:rsid w:val="00245ABD"/>
    <w:rsid w:val="00246BF8"/>
    <w:rsid w:val="00250174"/>
    <w:rsid w:val="00250365"/>
    <w:rsid w:val="002507FE"/>
    <w:rsid w:val="00250A17"/>
    <w:rsid w:val="0025187F"/>
    <w:rsid w:val="00254153"/>
    <w:rsid w:val="00254DD7"/>
    <w:rsid w:val="00254E40"/>
    <w:rsid w:val="0025596C"/>
    <w:rsid w:val="0025613A"/>
    <w:rsid w:val="002579D2"/>
    <w:rsid w:val="00257C37"/>
    <w:rsid w:val="0026004D"/>
    <w:rsid w:val="00260970"/>
    <w:rsid w:val="002609F9"/>
    <w:rsid w:val="0026146E"/>
    <w:rsid w:val="00261F99"/>
    <w:rsid w:val="0026263A"/>
    <w:rsid w:val="00262C61"/>
    <w:rsid w:val="002640DD"/>
    <w:rsid w:val="0026491C"/>
    <w:rsid w:val="00264D46"/>
    <w:rsid w:val="00266125"/>
    <w:rsid w:val="00266FF7"/>
    <w:rsid w:val="00267141"/>
    <w:rsid w:val="00267746"/>
    <w:rsid w:val="00267FEA"/>
    <w:rsid w:val="00271098"/>
    <w:rsid w:val="0027171F"/>
    <w:rsid w:val="00272DC4"/>
    <w:rsid w:val="00273460"/>
    <w:rsid w:val="00273A7A"/>
    <w:rsid w:val="00273E26"/>
    <w:rsid w:val="00275D12"/>
    <w:rsid w:val="00277357"/>
    <w:rsid w:val="00280DC6"/>
    <w:rsid w:val="002811B6"/>
    <w:rsid w:val="00281D67"/>
    <w:rsid w:val="002823F8"/>
    <w:rsid w:val="00282634"/>
    <w:rsid w:val="00284130"/>
    <w:rsid w:val="002848CF"/>
    <w:rsid w:val="00284D02"/>
    <w:rsid w:val="00284FEB"/>
    <w:rsid w:val="00285126"/>
    <w:rsid w:val="0028520F"/>
    <w:rsid w:val="002855F2"/>
    <w:rsid w:val="002860C4"/>
    <w:rsid w:val="002863B3"/>
    <w:rsid w:val="002865A9"/>
    <w:rsid w:val="00287010"/>
    <w:rsid w:val="00290F33"/>
    <w:rsid w:val="0029163F"/>
    <w:rsid w:val="0029219A"/>
    <w:rsid w:val="0029262E"/>
    <w:rsid w:val="002935E7"/>
    <w:rsid w:val="00293633"/>
    <w:rsid w:val="00295820"/>
    <w:rsid w:val="0029678B"/>
    <w:rsid w:val="002A05EA"/>
    <w:rsid w:val="002A29FE"/>
    <w:rsid w:val="002A2B92"/>
    <w:rsid w:val="002A384A"/>
    <w:rsid w:val="002A4086"/>
    <w:rsid w:val="002A470A"/>
    <w:rsid w:val="002A4E83"/>
    <w:rsid w:val="002A5D46"/>
    <w:rsid w:val="002B01D7"/>
    <w:rsid w:val="002B0A10"/>
    <w:rsid w:val="002B0CD5"/>
    <w:rsid w:val="002B1698"/>
    <w:rsid w:val="002B1C79"/>
    <w:rsid w:val="002B1FC3"/>
    <w:rsid w:val="002B2480"/>
    <w:rsid w:val="002B2BF6"/>
    <w:rsid w:val="002B3E81"/>
    <w:rsid w:val="002B3F8F"/>
    <w:rsid w:val="002B4242"/>
    <w:rsid w:val="002B5741"/>
    <w:rsid w:val="002B58FA"/>
    <w:rsid w:val="002B5E2D"/>
    <w:rsid w:val="002B64B5"/>
    <w:rsid w:val="002B68E7"/>
    <w:rsid w:val="002C10B8"/>
    <w:rsid w:val="002C261C"/>
    <w:rsid w:val="002C36E5"/>
    <w:rsid w:val="002C3701"/>
    <w:rsid w:val="002C3F82"/>
    <w:rsid w:val="002C4634"/>
    <w:rsid w:val="002C51F4"/>
    <w:rsid w:val="002C700F"/>
    <w:rsid w:val="002C7275"/>
    <w:rsid w:val="002C795F"/>
    <w:rsid w:val="002D2448"/>
    <w:rsid w:val="002D2571"/>
    <w:rsid w:val="002D3389"/>
    <w:rsid w:val="002D40A4"/>
    <w:rsid w:val="002D4249"/>
    <w:rsid w:val="002D4622"/>
    <w:rsid w:val="002D7C6C"/>
    <w:rsid w:val="002E0339"/>
    <w:rsid w:val="002E0F70"/>
    <w:rsid w:val="002E1C63"/>
    <w:rsid w:val="002E1F9C"/>
    <w:rsid w:val="002E313A"/>
    <w:rsid w:val="002E381A"/>
    <w:rsid w:val="002E4270"/>
    <w:rsid w:val="002E472E"/>
    <w:rsid w:val="002E4796"/>
    <w:rsid w:val="002E5B6A"/>
    <w:rsid w:val="002E6B79"/>
    <w:rsid w:val="002E7104"/>
    <w:rsid w:val="002E7476"/>
    <w:rsid w:val="002F19F3"/>
    <w:rsid w:val="002F39CC"/>
    <w:rsid w:val="002F3E16"/>
    <w:rsid w:val="002F4412"/>
    <w:rsid w:val="002F550F"/>
    <w:rsid w:val="002F5872"/>
    <w:rsid w:val="002F6893"/>
    <w:rsid w:val="00301078"/>
    <w:rsid w:val="003020A2"/>
    <w:rsid w:val="003026CA"/>
    <w:rsid w:val="00303ABB"/>
    <w:rsid w:val="00304FE1"/>
    <w:rsid w:val="00305409"/>
    <w:rsid w:val="00305F31"/>
    <w:rsid w:val="003072B1"/>
    <w:rsid w:val="00310327"/>
    <w:rsid w:val="003112BF"/>
    <w:rsid w:val="0031133A"/>
    <w:rsid w:val="003130E3"/>
    <w:rsid w:val="00315561"/>
    <w:rsid w:val="0031556A"/>
    <w:rsid w:val="0031653D"/>
    <w:rsid w:val="00316F74"/>
    <w:rsid w:val="003170B5"/>
    <w:rsid w:val="00321EF2"/>
    <w:rsid w:val="003227D2"/>
    <w:rsid w:val="003247CC"/>
    <w:rsid w:val="00324E39"/>
    <w:rsid w:val="003263DA"/>
    <w:rsid w:val="00326434"/>
    <w:rsid w:val="00327381"/>
    <w:rsid w:val="00330DC3"/>
    <w:rsid w:val="003314F5"/>
    <w:rsid w:val="0033156F"/>
    <w:rsid w:val="003319ED"/>
    <w:rsid w:val="00332945"/>
    <w:rsid w:val="0033295B"/>
    <w:rsid w:val="00333A98"/>
    <w:rsid w:val="003353F3"/>
    <w:rsid w:val="0033585D"/>
    <w:rsid w:val="003368F5"/>
    <w:rsid w:val="0033705C"/>
    <w:rsid w:val="00337570"/>
    <w:rsid w:val="00337890"/>
    <w:rsid w:val="00337C9B"/>
    <w:rsid w:val="00337CD2"/>
    <w:rsid w:val="003400F3"/>
    <w:rsid w:val="003407B7"/>
    <w:rsid w:val="00342195"/>
    <w:rsid w:val="0034283D"/>
    <w:rsid w:val="00344D69"/>
    <w:rsid w:val="0034595D"/>
    <w:rsid w:val="003474D1"/>
    <w:rsid w:val="0034763E"/>
    <w:rsid w:val="003502EE"/>
    <w:rsid w:val="00351A10"/>
    <w:rsid w:val="00352AF5"/>
    <w:rsid w:val="0035335D"/>
    <w:rsid w:val="00354429"/>
    <w:rsid w:val="003557D1"/>
    <w:rsid w:val="003609EF"/>
    <w:rsid w:val="0036116E"/>
    <w:rsid w:val="00361B52"/>
    <w:rsid w:val="0036231A"/>
    <w:rsid w:val="0036285A"/>
    <w:rsid w:val="003635E1"/>
    <w:rsid w:val="00363994"/>
    <w:rsid w:val="00363EDD"/>
    <w:rsid w:val="00364EDA"/>
    <w:rsid w:val="00366112"/>
    <w:rsid w:val="003665CC"/>
    <w:rsid w:val="0036746C"/>
    <w:rsid w:val="003701AB"/>
    <w:rsid w:val="00370A04"/>
    <w:rsid w:val="00370F51"/>
    <w:rsid w:val="0037298E"/>
    <w:rsid w:val="0037343D"/>
    <w:rsid w:val="00373BD3"/>
    <w:rsid w:val="00373F86"/>
    <w:rsid w:val="00374DD4"/>
    <w:rsid w:val="003762A7"/>
    <w:rsid w:val="003766C6"/>
    <w:rsid w:val="0037684C"/>
    <w:rsid w:val="00376CF7"/>
    <w:rsid w:val="00376D31"/>
    <w:rsid w:val="00377C51"/>
    <w:rsid w:val="00382327"/>
    <w:rsid w:val="003830EA"/>
    <w:rsid w:val="00383549"/>
    <w:rsid w:val="003836AA"/>
    <w:rsid w:val="00384C6F"/>
    <w:rsid w:val="00387528"/>
    <w:rsid w:val="00390175"/>
    <w:rsid w:val="00390A34"/>
    <w:rsid w:val="00390D05"/>
    <w:rsid w:val="00391576"/>
    <w:rsid w:val="00392261"/>
    <w:rsid w:val="003925F8"/>
    <w:rsid w:val="003938D8"/>
    <w:rsid w:val="00393C64"/>
    <w:rsid w:val="003948CB"/>
    <w:rsid w:val="00394E3E"/>
    <w:rsid w:val="00395A83"/>
    <w:rsid w:val="0039612A"/>
    <w:rsid w:val="0039643E"/>
    <w:rsid w:val="003967BC"/>
    <w:rsid w:val="00396D3C"/>
    <w:rsid w:val="003971F6"/>
    <w:rsid w:val="003972E8"/>
    <w:rsid w:val="00397F52"/>
    <w:rsid w:val="003A4ADE"/>
    <w:rsid w:val="003A517D"/>
    <w:rsid w:val="003A67CE"/>
    <w:rsid w:val="003A79EC"/>
    <w:rsid w:val="003B044C"/>
    <w:rsid w:val="003B07CF"/>
    <w:rsid w:val="003B163B"/>
    <w:rsid w:val="003B2054"/>
    <w:rsid w:val="003B2C78"/>
    <w:rsid w:val="003B2C7B"/>
    <w:rsid w:val="003B2DB7"/>
    <w:rsid w:val="003B2EA7"/>
    <w:rsid w:val="003B4961"/>
    <w:rsid w:val="003B5037"/>
    <w:rsid w:val="003B5833"/>
    <w:rsid w:val="003B58D8"/>
    <w:rsid w:val="003B74C7"/>
    <w:rsid w:val="003C086F"/>
    <w:rsid w:val="003C17F4"/>
    <w:rsid w:val="003C1C87"/>
    <w:rsid w:val="003C1EAC"/>
    <w:rsid w:val="003C2A2C"/>
    <w:rsid w:val="003C2B78"/>
    <w:rsid w:val="003C2D95"/>
    <w:rsid w:val="003C3223"/>
    <w:rsid w:val="003C7C3D"/>
    <w:rsid w:val="003C7E65"/>
    <w:rsid w:val="003D07BF"/>
    <w:rsid w:val="003D0A00"/>
    <w:rsid w:val="003D1580"/>
    <w:rsid w:val="003D1968"/>
    <w:rsid w:val="003D38A4"/>
    <w:rsid w:val="003D5034"/>
    <w:rsid w:val="003D60D5"/>
    <w:rsid w:val="003E16C8"/>
    <w:rsid w:val="003E1A36"/>
    <w:rsid w:val="003E1BDA"/>
    <w:rsid w:val="003E1D38"/>
    <w:rsid w:val="003E3139"/>
    <w:rsid w:val="003E3FE4"/>
    <w:rsid w:val="003E4A37"/>
    <w:rsid w:val="003E5128"/>
    <w:rsid w:val="003E57FF"/>
    <w:rsid w:val="003E62E1"/>
    <w:rsid w:val="003E65CD"/>
    <w:rsid w:val="003E6F90"/>
    <w:rsid w:val="003E7F3B"/>
    <w:rsid w:val="003F0054"/>
    <w:rsid w:val="003F197E"/>
    <w:rsid w:val="003F2493"/>
    <w:rsid w:val="003F2EC2"/>
    <w:rsid w:val="003F49B8"/>
    <w:rsid w:val="003F4DF1"/>
    <w:rsid w:val="003F5361"/>
    <w:rsid w:val="003F5710"/>
    <w:rsid w:val="00400E8C"/>
    <w:rsid w:val="00400FEE"/>
    <w:rsid w:val="00401299"/>
    <w:rsid w:val="004026C4"/>
    <w:rsid w:val="00402777"/>
    <w:rsid w:val="00403045"/>
    <w:rsid w:val="004031CF"/>
    <w:rsid w:val="00403DA1"/>
    <w:rsid w:val="00403DA5"/>
    <w:rsid w:val="00404FE0"/>
    <w:rsid w:val="0040523C"/>
    <w:rsid w:val="004056E0"/>
    <w:rsid w:val="00406584"/>
    <w:rsid w:val="004069CB"/>
    <w:rsid w:val="00406DFD"/>
    <w:rsid w:val="004077AA"/>
    <w:rsid w:val="00407970"/>
    <w:rsid w:val="00410371"/>
    <w:rsid w:val="00411BB3"/>
    <w:rsid w:val="00411C40"/>
    <w:rsid w:val="0041242D"/>
    <w:rsid w:val="00412A05"/>
    <w:rsid w:val="00412DB6"/>
    <w:rsid w:val="00414E26"/>
    <w:rsid w:val="004160BF"/>
    <w:rsid w:val="004167B8"/>
    <w:rsid w:val="00417110"/>
    <w:rsid w:val="004175C2"/>
    <w:rsid w:val="00420C4C"/>
    <w:rsid w:val="00420E86"/>
    <w:rsid w:val="004210BF"/>
    <w:rsid w:val="00421E78"/>
    <w:rsid w:val="00423DE9"/>
    <w:rsid w:val="00423F26"/>
    <w:rsid w:val="004242F1"/>
    <w:rsid w:val="00424B39"/>
    <w:rsid w:val="00425BCC"/>
    <w:rsid w:val="00426181"/>
    <w:rsid w:val="004269F5"/>
    <w:rsid w:val="0043110C"/>
    <w:rsid w:val="00434D46"/>
    <w:rsid w:val="004360BC"/>
    <w:rsid w:val="00437B32"/>
    <w:rsid w:val="00443FF4"/>
    <w:rsid w:val="00444278"/>
    <w:rsid w:val="0044477E"/>
    <w:rsid w:val="0044620F"/>
    <w:rsid w:val="004462CF"/>
    <w:rsid w:val="00450422"/>
    <w:rsid w:val="0045046F"/>
    <w:rsid w:val="00450580"/>
    <w:rsid w:val="00450E80"/>
    <w:rsid w:val="00451517"/>
    <w:rsid w:val="0045155A"/>
    <w:rsid w:val="004519B5"/>
    <w:rsid w:val="00452899"/>
    <w:rsid w:val="00452AEC"/>
    <w:rsid w:val="00452E07"/>
    <w:rsid w:val="00453133"/>
    <w:rsid w:val="00453300"/>
    <w:rsid w:val="0045363D"/>
    <w:rsid w:val="00454487"/>
    <w:rsid w:val="004554EF"/>
    <w:rsid w:val="00455C32"/>
    <w:rsid w:val="004562D3"/>
    <w:rsid w:val="004567A2"/>
    <w:rsid w:val="00456C17"/>
    <w:rsid w:val="0046175B"/>
    <w:rsid w:val="00464346"/>
    <w:rsid w:val="004644EE"/>
    <w:rsid w:val="00464B26"/>
    <w:rsid w:val="004651A6"/>
    <w:rsid w:val="004659D1"/>
    <w:rsid w:val="0046618D"/>
    <w:rsid w:val="00467320"/>
    <w:rsid w:val="00467351"/>
    <w:rsid w:val="00467418"/>
    <w:rsid w:val="00470901"/>
    <w:rsid w:val="00472D1E"/>
    <w:rsid w:val="00473DEB"/>
    <w:rsid w:val="00474211"/>
    <w:rsid w:val="00474FE8"/>
    <w:rsid w:val="00475856"/>
    <w:rsid w:val="00475DD0"/>
    <w:rsid w:val="004776A7"/>
    <w:rsid w:val="00477831"/>
    <w:rsid w:val="00477B1D"/>
    <w:rsid w:val="00477CB7"/>
    <w:rsid w:val="00480375"/>
    <w:rsid w:val="0048075D"/>
    <w:rsid w:val="0048159C"/>
    <w:rsid w:val="0048185F"/>
    <w:rsid w:val="00481A10"/>
    <w:rsid w:val="00481B06"/>
    <w:rsid w:val="00481D1E"/>
    <w:rsid w:val="00481D3B"/>
    <w:rsid w:val="00482903"/>
    <w:rsid w:val="004845BA"/>
    <w:rsid w:val="0048488C"/>
    <w:rsid w:val="00486A25"/>
    <w:rsid w:val="00487CFD"/>
    <w:rsid w:val="004900F6"/>
    <w:rsid w:val="0049069D"/>
    <w:rsid w:val="00490D71"/>
    <w:rsid w:val="00490E48"/>
    <w:rsid w:val="0049258B"/>
    <w:rsid w:val="004929EE"/>
    <w:rsid w:val="00492F69"/>
    <w:rsid w:val="004938A9"/>
    <w:rsid w:val="004947A8"/>
    <w:rsid w:val="00494AB5"/>
    <w:rsid w:val="004973E9"/>
    <w:rsid w:val="004A1031"/>
    <w:rsid w:val="004A1245"/>
    <w:rsid w:val="004A1923"/>
    <w:rsid w:val="004A1B02"/>
    <w:rsid w:val="004A1C74"/>
    <w:rsid w:val="004A3984"/>
    <w:rsid w:val="004A3E63"/>
    <w:rsid w:val="004A4DFE"/>
    <w:rsid w:val="004A4E9D"/>
    <w:rsid w:val="004A54E5"/>
    <w:rsid w:val="004A5C53"/>
    <w:rsid w:val="004B10C7"/>
    <w:rsid w:val="004B49C7"/>
    <w:rsid w:val="004B5D71"/>
    <w:rsid w:val="004B75B7"/>
    <w:rsid w:val="004B7BE7"/>
    <w:rsid w:val="004B7D98"/>
    <w:rsid w:val="004C0F59"/>
    <w:rsid w:val="004C13A7"/>
    <w:rsid w:val="004C255E"/>
    <w:rsid w:val="004C2A4A"/>
    <w:rsid w:val="004C7F3B"/>
    <w:rsid w:val="004D158B"/>
    <w:rsid w:val="004D1FB6"/>
    <w:rsid w:val="004D22DD"/>
    <w:rsid w:val="004D2723"/>
    <w:rsid w:val="004D3BF3"/>
    <w:rsid w:val="004D4097"/>
    <w:rsid w:val="004D48A5"/>
    <w:rsid w:val="004D4E4B"/>
    <w:rsid w:val="004D57CD"/>
    <w:rsid w:val="004D63C0"/>
    <w:rsid w:val="004D6409"/>
    <w:rsid w:val="004D6C43"/>
    <w:rsid w:val="004D7C63"/>
    <w:rsid w:val="004E1488"/>
    <w:rsid w:val="004E188E"/>
    <w:rsid w:val="004E22F4"/>
    <w:rsid w:val="004E23F3"/>
    <w:rsid w:val="004E329D"/>
    <w:rsid w:val="004E3857"/>
    <w:rsid w:val="004E7D10"/>
    <w:rsid w:val="004F0478"/>
    <w:rsid w:val="004F28AB"/>
    <w:rsid w:val="004F3B74"/>
    <w:rsid w:val="004F6A05"/>
    <w:rsid w:val="004F7DA3"/>
    <w:rsid w:val="00501D2D"/>
    <w:rsid w:val="005021CF"/>
    <w:rsid w:val="005027F9"/>
    <w:rsid w:val="00503AF6"/>
    <w:rsid w:val="00504A47"/>
    <w:rsid w:val="00505DA9"/>
    <w:rsid w:val="00506911"/>
    <w:rsid w:val="00507756"/>
    <w:rsid w:val="0051130C"/>
    <w:rsid w:val="00511330"/>
    <w:rsid w:val="00512ACC"/>
    <w:rsid w:val="005130EB"/>
    <w:rsid w:val="00513694"/>
    <w:rsid w:val="00513A63"/>
    <w:rsid w:val="0051580D"/>
    <w:rsid w:val="005179D8"/>
    <w:rsid w:val="00517B47"/>
    <w:rsid w:val="00517C6A"/>
    <w:rsid w:val="00520860"/>
    <w:rsid w:val="005216D8"/>
    <w:rsid w:val="005225F6"/>
    <w:rsid w:val="00523A7C"/>
    <w:rsid w:val="0052567C"/>
    <w:rsid w:val="0052695C"/>
    <w:rsid w:val="00527CEB"/>
    <w:rsid w:val="00532288"/>
    <w:rsid w:val="005323C6"/>
    <w:rsid w:val="00532AF1"/>
    <w:rsid w:val="00532D57"/>
    <w:rsid w:val="00534891"/>
    <w:rsid w:val="00535348"/>
    <w:rsid w:val="00540743"/>
    <w:rsid w:val="00540962"/>
    <w:rsid w:val="00540BBD"/>
    <w:rsid w:val="00542913"/>
    <w:rsid w:val="00544667"/>
    <w:rsid w:val="005447C3"/>
    <w:rsid w:val="005451F6"/>
    <w:rsid w:val="0054668F"/>
    <w:rsid w:val="005469CC"/>
    <w:rsid w:val="00547111"/>
    <w:rsid w:val="00547399"/>
    <w:rsid w:val="00551866"/>
    <w:rsid w:val="005518F3"/>
    <w:rsid w:val="00552F82"/>
    <w:rsid w:val="00553A8D"/>
    <w:rsid w:val="00553AF3"/>
    <w:rsid w:val="0055618C"/>
    <w:rsid w:val="005561D0"/>
    <w:rsid w:val="00556851"/>
    <w:rsid w:val="005574EB"/>
    <w:rsid w:val="00560F77"/>
    <w:rsid w:val="00562B81"/>
    <w:rsid w:val="00562E4F"/>
    <w:rsid w:val="00563F85"/>
    <w:rsid w:val="00564D2B"/>
    <w:rsid w:val="0056526D"/>
    <w:rsid w:val="005675DC"/>
    <w:rsid w:val="005703BE"/>
    <w:rsid w:val="00574E95"/>
    <w:rsid w:val="005758BC"/>
    <w:rsid w:val="00576A9F"/>
    <w:rsid w:val="005800EF"/>
    <w:rsid w:val="005814E6"/>
    <w:rsid w:val="00581EE0"/>
    <w:rsid w:val="00582E1A"/>
    <w:rsid w:val="00584E78"/>
    <w:rsid w:val="005854C2"/>
    <w:rsid w:val="00586115"/>
    <w:rsid w:val="005904A2"/>
    <w:rsid w:val="0059083C"/>
    <w:rsid w:val="00590B2C"/>
    <w:rsid w:val="0059154B"/>
    <w:rsid w:val="00591ABE"/>
    <w:rsid w:val="005920BC"/>
    <w:rsid w:val="005922AF"/>
    <w:rsid w:val="00592796"/>
    <w:rsid w:val="0059284A"/>
    <w:rsid w:val="00592D74"/>
    <w:rsid w:val="0059353F"/>
    <w:rsid w:val="00593AE4"/>
    <w:rsid w:val="005949CF"/>
    <w:rsid w:val="00594FE8"/>
    <w:rsid w:val="00597137"/>
    <w:rsid w:val="005A02F4"/>
    <w:rsid w:val="005A1C4F"/>
    <w:rsid w:val="005A2582"/>
    <w:rsid w:val="005A28D6"/>
    <w:rsid w:val="005A4723"/>
    <w:rsid w:val="005A5F29"/>
    <w:rsid w:val="005A6EE6"/>
    <w:rsid w:val="005A7833"/>
    <w:rsid w:val="005B06CB"/>
    <w:rsid w:val="005B19CA"/>
    <w:rsid w:val="005B1F7E"/>
    <w:rsid w:val="005B2E91"/>
    <w:rsid w:val="005B3755"/>
    <w:rsid w:val="005B528F"/>
    <w:rsid w:val="005B5F68"/>
    <w:rsid w:val="005B6EC3"/>
    <w:rsid w:val="005C016D"/>
    <w:rsid w:val="005C03FA"/>
    <w:rsid w:val="005C05E6"/>
    <w:rsid w:val="005C1016"/>
    <w:rsid w:val="005C1EFD"/>
    <w:rsid w:val="005C2768"/>
    <w:rsid w:val="005C43B9"/>
    <w:rsid w:val="005C47BD"/>
    <w:rsid w:val="005C48F6"/>
    <w:rsid w:val="005C4EEF"/>
    <w:rsid w:val="005C51C4"/>
    <w:rsid w:val="005C596B"/>
    <w:rsid w:val="005C7AEF"/>
    <w:rsid w:val="005D1235"/>
    <w:rsid w:val="005D1D3B"/>
    <w:rsid w:val="005D2482"/>
    <w:rsid w:val="005D28AB"/>
    <w:rsid w:val="005D3EF4"/>
    <w:rsid w:val="005D4216"/>
    <w:rsid w:val="005D5F97"/>
    <w:rsid w:val="005D6A45"/>
    <w:rsid w:val="005E2566"/>
    <w:rsid w:val="005E2C44"/>
    <w:rsid w:val="005E30E5"/>
    <w:rsid w:val="005E3781"/>
    <w:rsid w:val="005E4304"/>
    <w:rsid w:val="005E440C"/>
    <w:rsid w:val="005E5D84"/>
    <w:rsid w:val="005E6EF8"/>
    <w:rsid w:val="005E705C"/>
    <w:rsid w:val="005E7107"/>
    <w:rsid w:val="005F08EA"/>
    <w:rsid w:val="005F2113"/>
    <w:rsid w:val="005F22A8"/>
    <w:rsid w:val="005F2C16"/>
    <w:rsid w:val="005F365E"/>
    <w:rsid w:val="005F41AD"/>
    <w:rsid w:val="005F4B65"/>
    <w:rsid w:val="005F4F0C"/>
    <w:rsid w:val="005F54CA"/>
    <w:rsid w:val="005F56EE"/>
    <w:rsid w:val="005F577A"/>
    <w:rsid w:val="005F707C"/>
    <w:rsid w:val="005F7D69"/>
    <w:rsid w:val="00600C03"/>
    <w:rsid w:val="00600D55"/>
    <w:rsid w:val="006014A7"/>
    <w:rsid w:val="006019EF"/>
    <w:rsid w:val="006035A7"/>
    <w:rsid w:val="00604283"/>
    <w:rsid w:val="00604686"/>
    <w:rsid w:val="0060526D"/>
    <w:rsid w:val="0060545C"/>
    <w:rsid w:val="00605900"/>
    <w:rsid w:val="006063F8"/>
    <w:rsid w:val="006065B1"/>
    <w:rsid w:val="00606FE3"/>
    <w:rsid w:val="006074B0"/>
    <w:rsid w:val="00607B0D"/>
    <w:rsid w:val="00607CEC"/>
    <w:rsid w:val="00611B0A"/>
    <w:rsid w:val="00612109"/>
    <w:rsid w:val="0061249B"/>
    <w:rsid w:val="00613074"/>
    <w:rsid w:val="006149C5"/>
    <w:rsid w:val="0061607D"/>
    <w:rsid w:val="00616129"/>
    <w:rsid w:val="006162F0"/>
    <w:rsid w:val="006166BF"/>
    <w:rsid w:val="00616D5E"/>
    <w:rsid w:val="006175EA"/>
    <w:rsid w:val="00617D48"/>
    <w:rsid w:val="00620181"/>
    <w:rsid w:val="006205E0"/>
    <w:rsid w:val="00621188"/>
    <w:rsid w:val="00621FEF"/>
    <w:rsid w:val="006220D9"/>
    <w:rsid w:val="00624B75"/>
    <w:rsid w:val="006255CD"/>
    <w:rsid w:val="006257ED"/>
    <w:rsid w:val="00626191"/>
    <w:rsid w:val="006263B4"/>
    <w:rsid w:val="0062663E"/>
    <w:rsid w:val="0062699D"/>
    <w:rsid w:val="006301CB"/>
    <w:rsid w:val="006302F9"/>
    <w:rsid w:val="00630477"/>
    <w:rsid w:val="00631498"/>
    <w:rsid w:val="00632C17"/>
    <w:rsid w:val="006340EC"/>
    <w:rsid w:val="00635FEA"/>
    <w:rsid w:val="00636D8B"/>
    <w:rsid w:val="006375D0"/>
    <w:rsid w:val="006406DE"/>
    <w:rsid w:val="00640E02"/>
    <w:rsid w:val="00641498"/>
    <w:rsid w:val="006415FF"/>
    <w:rsid w:val="00643784"/>
    <w:rsid w:val="00643C37"/>
    <w:rsid w:val="006442EF"/>
    <w:rsid w:val="00646B0A"/>
    <w:rsid w:val="006507C6"/>
    <w:rsid w:val="006515DF"/>
    <w:rsid w:val="00651D99"/>
    <w:rsid w:val="0065381B"/>
    <w:rsid w:val="00653C17"/>
    <w:rsid w:val="00654004"/>
    <w:rsid w:val="00654272"/>
    <w:rsid w:val="00654BE7"/>
    <w:rsid w:val="006556D5"/>
    <w:rsid w:val="006574A7"/>
    <w:rsid w:val="006641D4"/>
    <w:rsid w:val="006642B4"/>
    <w:rsid w:val="00664A02"/>
    <w:rsid w:val="00665C47"/>
    <w:rsid w:val="00665FF0"/>
    <w:rsid w:val="0066647C"/>
    <w:rsid w:val="006666FD"/>
    <w:rsid w:val="006676A6"/>
    <w:rsid w:val="00673048"/>
    <w:rsid w:val="006733F3"/>
    <w:rsid w:val="00673A4F"/>
    <w:rsid w:val="0067473A"/>
    <w:rsid w:val="00676BFB"/>
    <w:rsid w:val="00677FC6"/>
    <w:rsid w:val="0068011C"/>
    <w:rsid w:val="006805E6"/>
    <w:rsid w:val="00680A81"/>
    <w:rsid w:val="006816C2"/>
    <w:rsid w:val="006836ED"/>
    <w:rsid w:val="0068388C"/>
    <w:rsid w:val="00683F57"/>
    <w:rsid w:val="0068429A"/>
    <w:rsid w:val="00685837"/>
    <w:rsid w:val="00686C8D"/>
    <w:rsid w:val="00690E45"/>
    <w:rsid w:val="00691C31"/>
    <w:rsid w:val="006929EE"/>
    <w:rsid w:val="00692AFA"/>
    <w:rsid w:val="0069375C"/>
    <w:rsid w:val="00693814"/>
    <w:rsid w:val="00693A97"/>
    <w:rsid w:val="00693B48"/>
    <w:rsid w:val="00693E26"/>
    <w:rsid w:val="00694015"/>
    <w:rsid w:val="0069539C"/>
    <w:rsid w:val="00695808"/>
    <w:rsid w:val="00695D6E"/>
    <w:rsid w:val="00696A4F"/>
    <w:rsid w:val="00696B68"/>
    <w:rsid w:val="0069704E"/>
    <w:rsid w:val="006979A7"/>
    <w:rsid w:val="006A1EE8"/>
    <w:rsid w:val="006A2336"/>
    <w:rsid w:val="006A307B"/>
    <w:rsid w:val="006A30FD"/>
    <w:rsid w:val="006A42F8"/>
    <w:rsid w:val="006A4D87"/>
    <w:rsid w:val="006A5885"/>
    <w:rsid w:val="006A6937"/>
    <w:rsid w:val="006A6BD1"/>
    <w:rsid w:val="006B00EA"/>
    <w:rsid w:val="006B09DC"/>
    <w:rsid w:val="006B0A94"/>
    <w:rsid w:val="006B1979"/>
    <w:rsid w:val="006B199F"/>
    <w:rsid w:val="006B2254"/>
    <w:rsid w:val="006B3AD2"/>
    <w:rsid w:val="006B419F"/>
    <w:rsid w:val="006B43EC"/>
    <w:rsid w:val="006B46FB"/>
    <w:rsid w:val="006B4F2E"/>
    <w:rsid w:val="006B5F55"/>
    <w:rsid w:val="006B7593"/>
    <w:rsid w:val="006B7E5B"/>
    <w:rsid w:val="006B7F53"/>
    <w:rsid w:val="006C04BD"/>
    <w:rsid w:val="006C04C8"/>
    <w:rsid w:val="006C0B6C"/>
    <w:rsid w:val="006C0F2E"/>
    <w:rsid w:val="006C1444"/>
    <w:rsid w:val="006C2EEB"/>
    <w:rsid w:val="006C2F3C"/>
    <w:rsid w:val="006C3269"/>
    <w:rsid w:val="006C48B2"/>
    <w:rsid w:val="006C4E3D"/>
    <w:rsid w:val="006C71F0"/>
    <w:rsid w:val="006C749C"/>
    <w:rsid w:val="006D035D"/>
    <w:rsid w:val="006D0862"/>
    <w:rsid w:val="006D0C1E"/>
    <w:rsid w:val="006D1AC4"/>
    <w:rsid w:val="006D38B6"/>
    <w:rsid w:val="006D39ED"/>
    <w:rsid w:val="006D5012"/>
    <w:rsid w:val="006D5275"/>
    <w:rsid w:val="006D6AC2"/>
    <w:rsid w:val="006D7D3C"/>
    <w:rsid w:val="006E04AD"/>
    <w:rsid w:val="006E09EB"/>
    <w:rsid w:val="006E1B8F"/>
    <w:rsid w:val="006E21FB"/>
    <w:rsid w:val="006E22FF"/>
    <w:rsid w:val="006E285C"/>
    <w:rsid w:val="006E3570"/>
    <w:rsid w:val="006E38B8"/>
    <w:rsid w:val="006E5057"/>
    <w:rsid w:val="006E50CB"/>
    <w:rsid w:val="006E6C64"/>
    <w:rsid w:val="006E79EA"/>
    <w:rsid w:val="006E7EA9"/>
    <w:rsid w:val="006F0DE7"/>
    <w:rsid w:val="006F248D"/>
    <w:rsid w:val="006F2A20"/>
    <w:rsid w:val="006F3F3F"/>
    <w:rsid w:val="006F43B1"/>
    <w:rsid w:val="006F51F0"/>
    <w:rsid w:val="006F5F95"/>
    <w:rsid w:val="006F6EFD"/>
    <w:rsid w:val="006F70F4"/>
    <w:rsid w:val="0070183C"/>
    <w:rsid w:val="00701990"/>
    <w:rsid w:val="00703883"/>
    <w:rsid w:val="00703925"/>
    <w:rsid w:val="00704DD1"/>
    <w:rsid w:val="00705BC5"/>
    <w:rsid w:val="00705E5E"/>
    <w:rsid w:val="00706E96"/>
    <w:rsid w:val="0070783A"/>
    <w:rsid w:val="00707DCD"/>
    <w:rsid w:val="00707DDD"/>
    <w:rsid w:val="00707FF5"/>
    <w:rsid w:val="00710106"/>
    <w:rsid w:val="00711883"/>
    <w:rsid w:val="00713E0C"/>
    <w:rsid w:val="00714B27"/>
    <w:rsid w:val="00714D11"/>
    <w:rsid w:val="00714DFD"/>
    <w:rsid w:val="00715D4A"/>
    <w:rsid w:val="0071707C"/>
    <w:rsid w:val="007176AD"/>
    <w:rsid w:val="007176FF"/>
    <w:rsid w:val="00720859"/>
    <w:rsid w:val="0072258E"/>
    <w:rsid w:val="0072306F"/>
    <w:rsid w:val="007235B5"/>
    <w:rsid w:val="00723887"/>
    <w:rsid w:val="00723FF3"/>
    <w:rsid w:val="00724CC7"/>
    <w:rsid w:val="00724F01"/>
    <w:rsid w:val="0072570E"/>
    <w:rsid w:val="00726F0C"/>
    <w:rsid w:val="007276E6"/>
    <w:rsid w:val="00730245"/>
    <w:rsid w:val="00731BAE"/>
    <w:rsid w:val="007321F4"/>
    <w:rsid w:val="007333F1"/>
    <w:rsid w:val="00734157"/>
    <w:rsid w:val="00734BCD"/>
    <w:rsid w:val="007353EA"/>
    <w:rsid w:val="0073551E"/>
    <w:rsid w:val="00737828"/>
    <w:rsid w:val="007378AF"/>
    <w:rsid w:val="007403B3"/>
    <w:rsid w:val="00740813"/>
    <w:rsid w:val="00740A80"/>
    <w:rsid w:val="00742109"/>
    <w:rsid w:val="00742133"/>
    <w:rsid w:val="007431E6"/>
    <w:rsid w:val="00744636"/>
    <w:rsid w:val="00746018"/>
    <w:rsid w:val="007462BB"/>
    <w:rsid w:val="007470AC"/>
    <w:rsid w:val="007515F1"/>
    <w:rsid w:val="007518C4"/>
    <w:rsid w:val="00752321"/>
    <w:rsid w:val="00753765"/>
    <w:rsid w:val="00753AE1"/>
    <w:rsid w:val="007548AB"/>
    <w:rsid w:val="0075498B"/>
    <w:rsid w:val="007553E3"/>
    <w:rsid w:val="00755704"/>
    <w:rsid w:val="00757EF3"/>
    <w:rsid w:val="007622D4"/>
    <w:rsid w:val="0076257F"/>
    <w:rsid w:val="00762EC6"/>
    <w:rsid w:val="00763ADA"/>
    <w:rsid w:val="00763E28"/>
    <w:rsid w:val="007641C6"/>
    <w:rsid w:val="00764F54"/>
    <w:rsid w:val="007651B6"/>
    <w:rsid w:val="00770677"/>
    <w:rsid w:val="007718DD"/>
    <w:rsid w:val="007721EC"/>
    <w:rsid w:val="0077231A"/>
    <w:rsid w:val="0077245F"/>
    <w:rsid w:val="00772BB8"/>
    <w:rsid w:val="00775116"/>
    <w:rsid w:val="007772DF"/>
    <w:rsid w:val="007775F4"/>
    <w:rsid w:val="00777682"/>
    <w:rsid w:val="00777DAE"/>
    <w:rsid w:val="0078052F"/>
    <w:rsid w:val="007807CD"/>
    <w:rsid w:val="00784AB4"/>
    <w:rsid w:val="0078516E"/>
    <w:rsid w:val="0078588E"/>
    <w:rsid w:val="00786471"/>
    <w:rsid w:val="0078673E"/>
    <w:rsid w:val="0078703B"/>
    <w:rsid w:val="007904C6"/>
    <w:rsid w:val="00792342"/>
    <w:rsid w:val="00792637"/>
    <w:rsid w:val="00792C49"/>
    <w:rsid w:val="007936D3"/>
    <w:rsid w:val="007939FF"/>
    <w:rsid w:val="00793B71"/>
    <w:rsid w:val="007953A5"/>
    <w:rsid w:val="00795A01"/>
    <w:rsid w:val="007962CE"/>
    <w:rsid w:val="00796571"/>
    <w:rsid w:val="007976D1"/>
    <w:rsid w:val="007977A8"/>
    <w:rsid w:val="007977EB"/>
    <w:rsid w:val="00797C1D"/>
    <w:rsid w:val="00797EA2"/>
    <w:rsid w:val="007A4797"/>
    <w:rsid w:val="007A4B4D"/>
    <w:rsid w:val="007A4F16"/>
    <w:rsid w:val="007A5991"/>
    <w:rsid w:val="007A678C"/>
    <w:rsid w:val="007B1B63"/>
    <w:rsid w:val="007B1FF2"/>
    <w:rsid w:val="007B26F9"/>
    <w:rsid w:val="007B27A3"/>
    <w:rsid w:val="007B512A"/>
    <w:rsid w:val="007B68D9"/>
    <w:rsid w:val="007B6C98"/>
    <w:rsid w:val="007B6F53"/>
    <w:rsid w:val="007B7BF0"/>
    <w:rsid w:val="007C1DBF"/>
    <w:rsid w:val="007C2097"/>
    <w:rsid w:val="007C2350"/>
    <w:rsid w:val="007C2B38"/>
    <w:rsid w:val="007C2C9C"/>
    <w:rsid w:val="007C467C"/>
    <w:rsid w:val="007C5CA4"/>
    <w:rsid w:val="007C5D0C"/>
    <w:rsid w:val="007C74B8"/>
    <w:rsid w:val="007C77C2"/>
    <w:rsid w:val="007D1CFA"/>
    <w:rsid w:val="007D3C2B"/>
    <w:rsid w:val="007D4266"/>
    <w:rsid w:val="007D4A76"/>
    <w:rsid w:val="007D617D"/>
    <w:rsid w:val="007D6A07"/>
    <w:rsid w:val="007E000C"/>
    <w:rsid w:val="007E06AB"/>
    <w:rsid w:val="007E113D"/>
    <w:rsid w:val="007E23C4"/>
    <w:rsid w:val="007E3CCB"/>
    <w:rsid w:val="007E4FD7"/>
    <w:rsid w:val="007E500B"/>
    <w:rsid w:val="007E50F5"/>
    <w:rsid w:val="007E5D59"/>
    <w:rsid w:val="007E5EA3"/>
    <w:rsid w:val="007E6E17"/>
    <w:rsid w:val="007E7572"/>
    <w:rsid w:val="007E7A2E"/>
    <w:rsid w:val="007F048D"/>
    <w:rsid w:val="007F0EE5"/>
    <w:rsid w:val="007F4F6E"/>
    <w:rsid w:val="007F7259"/>
    <w:rsid w:val="008000A9"/>
    <w:rsid w:val="0080054E"/>
    <w:rsid w:val="00802A78"/>
    <w:rsid w:val="008033F6"/>
    <w:rsid w:val="008040A8"/>
    <w:rsid w:val="0080417A"/>
    <w:rsid w:val="008041D8"/>
    <w:rsid w:val="0080496C"/>
    <w:rsid w:val="00804C24"/>
    <w:rsid w:val="00804E7D"/>
    <w:rsid w:val="0080525A"/>
    <w:rsid w:val="008054E0"/>
    <w:rsid w:val="008059B1"/>
    <w:rsid w:val="008059DA"/>
    <w:rsid w:val="00807826"/>
    <w:rsid w:val="00807E2F"/>
    <w:rsid w:val="00810818"/>
    <w:rsid w:val="00810BDE"/>
    <w:rsid w:val="00810CE8"/>
    <w:rsid w:val="008117E3"/>
    <w:rsid w:val="008123A9"/>
    <w:rsid w:val="0081271B"/>
    <w:rsid w:val="00812B4A"/>
    <w:rsid w:val="0081342A"/>
    <w:rsid w:val="00813ADD"/>
    <w:rsid w:val="00813D24"/>
    <w:rsid w:val="0081464A"/>
    <w:rsid w:val="008146E1"/>
    <w:rsid w:val="00816118"/>
    <w:rsid w:val="0081738C"/>
    <w:rsid w:val="0081761F"/>
    <w:rsid w:val="008200D2"/>
    <w:rsid w:val="0082034E"/>
    <w:rsid w:val="0082104D"/>
    <w:rsid w:val="00822EDC"/>
    <w:rsid w:val="00823492"/>
    <w:rsid w:val="008237D1"/>
    <w:rsid w:val="00824AF9"/>
    <w:rsid w:val="00825C38"/>
    <w:rsid w:val="00825FD1"/>
    <w:rsid w:val="008279FA"/>
    <w:rsid w:val="00832074"/>
    <w:rsid w:val="0083300B"/>
    <w:rsid w:val="00833103"/>
    <w:rsid w:val="008339C4"/>
    <w:rsid w:val="00835612"/>
    <w:rsid w:val="00835F2E"/>
    <w:rsid w:val="00837BE6"/>
    <w:rsid w:val="0084172E"/>
    <w:rsid w:val="0084229F"/>
    <w:rsid w:val="00842943"/>
    <w:rsid w:val="00843F3E"/>
    <w:rsid w:val="00844361"/>
    <w:rsid w:val="0084617E"/>
    <w:rsid w:val="00847608"/>
    <w:rsid w:val="0085017D"/>
    <w:rsid w:val="00851401"/>
    <w:rsid w:val="008523EB"/>
    <w:rsid w:val="00852401"/>
    <w:rsid w:val="00852DDA"/>
    <w:rsid w:val="00852F84"/>
    <w:rsid w:val="00853534"/>
    <w:rsid w:val="0085390A"/>
    <w:rsid w:val="00854337"/>
    <w:rsid w:val="00854792"/>
    <w:rsid w:val="008551CF"/>
    <w:rsid w:val="00855819"/>
    <w:rsid w:val="00856814"/>
    <w:rsid w:val="00857861"/>
    <w:rsid w:val="00861C42"/>
    <w:rsid w:val="008626E7"/>
    <w:rsid w:val="0086477D"/>
    <w:rsid w:val="00864A17"/>
    <w:rsid w:val="0086597E"/>
    <w:rsid w:val="00865D18"/>
    <w:rsid w:val="00866827"/>
    <w:rsid w:val="008679C1"/>
    <w:rsid w:val="00870E73"/>
    <w:rsid w:val="00870EE7"/>
    <w:rsid w:val="00871E72"/>
    <w:rsid w:val="0087258F"/>
    <w:rsid w:val="0087551F"/>
    <w:rsid w:val="00875520"/>
    <w:rsid w:val="008769DE"/>
    <w:rsid w:val="0088133F"/>
    <w:rsid w:val="008819D8"/>
    <w:rsid w:val="00882266"/>
    <w:rsid w:val="00882577"/>
    <w:rsid w:val="00883B19"/>
    <w:rsid w:val="00883BEB"/>
    <w:rsid w:val="0088516F"/>
    <w:rsid w:val="0088633F"/>
    <w:rsid w:val="008863B9"/>
    <w:rsid w:val="008878AB"/>
    <w:rsid w:val="00887CC6"/>
    <w:rsid w:val="00890CCE"/>
    <w:rsid w:val="0089194F"/>
    <w:rsid w:val="008949BA"/>
    <w:rsid w:val="00894EC9"/>
    <w:rsid w:val="008954CC"/>
    <w:rsid w:val="00895698"/>
    <w:rsid w:val="00896496"/>
    <w:rsid w:val="00897E89"/>
    <w:rsid w:val="008A0089"/>
    <w:rsid w:val="008A0F9D"/>
    <w:rsid w:val="008A1071"/>
    <w:rsid w:val="008A1E33"/>
    <w:rsid w:val="008A2731"/>
    <w:rsid w:val="008A30FF"/>
    <w:rsid w:val="008A3422"/>
    <w:rsid w:val="008A3565"/>
    <w:rsid w:val="008A3A72"/>
    <w:rsid w:val="008A3C07"/>
    <w:rsid w:val="008A42C7"/>
    <w:rsid w:val="008A45A6"/>
    <w:rsid w:val="008A6C1D"/>
    <w:rsid w:val="008A6EF2"/>
    <w:rsid w:val="008A7438"/>
    <w:rsid w:val="008A7484"/>
    <w:rsid w:val="008A78E0"/>
    <w:rsid w:val="008A7F57"/>
    <w:rsid w:val="008B0717"/>
    <w:rsid w:val="008B1257"/>
    <w:rsid w:val="008B1551"/>
    <w:rsid w:val="008B16C7"/>
    <w:rsid w:val="008B304B"/>
    <w:rsid w:val="008B32D9"/>
    <w:rsid w:val="008B4100"/>
    <w:rsid w:val="008B4BDA"/>
    <w:rsid w:val="008B4E53"/>
    <w:rsid w:val="008C0742"/>
    <w:rsid w:val="008C2E78"/>
    <w:rsid w:val="008C31DB"/>
    <w:rsid w:val="008C39E5"/>
    <w:rsid w:val="008C4138"/>
    <w:rsid w:val="008C60A0"/>
    <w:rsid w:val="008C61B1"/>
    <w:rsid w:val="008C637C"/>
    <w:rsid w:val="008C6E3E"/>
    <w:rsid w:val="008C7569"/>
    <w:rsid w:val="008C7E9F"/>
    <w:rsid w:val="008D0018"/>
    <w:rsid w:val="008D168F"/>
    <w:rsid w:val="008D18F4"/>
    <w:rsid w:val="008D1DBA"/>
    <w:rsid w:val="008D2EB4"/>
    <w:rsid w:val="008D3AB6"/>
    <w:rsid w:val="008D59E9"/>
    <w:rsid w:val="008D5B2E"/>
    <w:rsid w:val="008D5B8C"/>
    <w:rsid w:val="008D6320"/>
    <w:rsid w:val="008D7595"/>
    <w:rsid w:val="008E0A32"/>
    <w:rsid w:val="008E0C56"/>
    <w:rsid w:val="008E0D17"/>
    <w:rsid w:val="008E1A33"/>
    <w:rsid w:val="008E22E1"/>
    <w:rsid w:val="008E46A9"/>
    <w:rsid w:val="008E577D"/>
    <w:rsid w:val="008E6531"/>
    <w:rsid w:val="008E72A9"/>
    <w:rsid w:val="008E7C8A"/>
    <w:rsid w:val="008F1306"/>
    <w:rsid w:val="008F1B23"/>
    <w:rsid w:val="008F2291"/>
    <w:rsid w:val="008F2EDC"/>
    <w:rsid w:val="008F314E"/>
    <w:rsid w:val="008F3789"/>
    <w:rsid w:val="008F3DFA"/>
    <w:rsid w:val="008F597D"/>
    <w:rsid w:val="008F649F"/>
    <w:rsid w:val="008F686C"/>
    <w:rsid w:val="008F6B7F"/>
    <w:rsid w:val="008F73B0"/>
    <w:rsid w:val="008F7EB1"/>
    <w:rsid w:val="0090001F"/>
    <w:rsid w:val="0090033A"/>
    <w:rsid w:val="009019CD"/>
    <w:rsid w:val="00903B9C"/>
    <w:rsid w:val="009061B7"/>
    <w:rsid w:val="009066ED"/>
    <w:rsid w:val="00907FCD"/>
    <w:rsid w:val="0091005C"/>
    <w:rsid w:val="00910073"/>
    <w:rsid w:val="00910399"/>
    <w:rsid w:val="009110E0"/>
    <w:rsid w:val="009117E4"/>
    <w:rsid w:val="00912DB5"/>
    <w:rsid w:val="0091315F"/>
    <w:rsid w:val="009140BE"/>
    <w:rsid w:val="009145B8"/>
    <w:rsid w:val="009148A9"/>
    <w:rsid w:val="009148DE"/>
    <w:rsid w:val="00914902"/>
    <w:rsid w:val="009149C9"/>
    <w:rsid w:val="00914C7E"/>
    <w:rsid w:val="00914DC6"/>
    <w:rsid w:val="00915813"/>
    <w:rsid w:val="009172AC"/>
    <w:rsid w:val="00917A93"/>
    <w:rsid w:val="00917CC1"/>
    <w:rsid w:val="00917DB0"/>
    <w:rsid w:val="00920111"/>
    <w:rsid w:val="00922CF6"/>
    <w:rsid w:val="00923E83"/>
    <w:rsid w:val="00925D94"/>
    <w:rsid w:val="00925EE6"/>
    <w:rsid w:val="00926278"/>
    <w:rsid w:val="00926513"/>
    <w:rsid w:val="00927AF4"/>
    <w:rsid w:val="00931CED"/>
    <w:rsid w:val="00932144"/>
    <w:rsid w:val="0093267F"/>
    <w:rsid w:val="00932ADC"/>
    <w:rsid w:val="00932EAB"/>
    <w:rsid w:val="00934D0D"/>
    <w:rsid w:val="00934D97"/>
    <w:rsid w:val="0093595B"/>
    <w:rsid w:val="00935E88"/>
    <w:rsid w:val="00940009"/>
    <w:rsid w:val="009402BE"/>
    <w:rsid w:val="009404CC"/>
    <w:rsid w:val="009405E7"/>
    <w:rsid w:val="00940E25"/>
    <w:rsid w:val="00941E30"/>
    <w:rsid w:val="009453AC"/>
    <w:rsid w:val="0094572D"/>
    <w:rsid w:val="00945FA4"/>
    <w:rsid w:val="00946607"/>
    <w:rsid w:val="009473E2"/>
    <w:rsid w:val="0095209D"/>
    <w:rsid w:val="00952492"/>
    <w:rsid w:val="00953312"/>
    <w:rsid w:val="00954D28"/>
    <w:rsid w:val="00955CDE"/>
    <w:rsid w:val="00955DE4"/>
    <w:rsid w:val="00955F29"/>
    <w:rsid w:val="009603D8"/>
    <w:rsid w:val="00960E05"/>
    <w:rsid w:val="00961E6D"/>
    <w:rsid w:val="00963528"/>
    <w:rsid w:val="0096435C"/>
    <w:rsid w:val="00964702"/>
    <w:rsid w:val="00965CFE"/>
    <w:rsid w:val="00967619"/>
    <w:rsid w:val="00967C74"/>
    <w:rsid w:val="00967EE3"/>
    <w:rsid w:val="00971262"/>
    <w:rsid w:val="0097136B"/>
    <w:rsid w:val="00972A0D"/>
    <w:rsid w:val="00972CD8"/>
    <w:rsid w:val="00972E4D"/>
    <w:rsid w:val="00973DB0"/>
    <w:rsid w:val="009744C1"/>
    <w:rsid w:val="0097520B"/>
    <w:rsid w:val="009766AF"/>
    <w:rsid w:val="009769D5"/>
    <w:rsid w:val="009777D9"/>
    <w:rsid w:val="009801A3"/>
    <w:rsid w:val="00980B3C"/>
    <w:rsid w:val="0098123E"/>
    <w:rsid w:val="009814DF"/>
    <w:rsid w:val="00981895"/>
    <w:rsid w:val="009822B3"/>
    <w:rsid w:val="00983036"/>
    <w:rsid w:val="00984A70"/>
    <w:rsid w:val="00984D9C"/>
    <w:rsid w:val="009853CF"/>
    <w:rsid w:val="00985B42"/>
    <w:rsid w:val="00985C08"/>
    <w:rsid w:val="00987D05"/>
    <w:rsid w:val="0099153E"/>
    <w:rsid w:val="009918B4"/>
    <w:rsid w:val="00991B88"/>
    <w:rsid w:val="009924CC"/>
    <w:rsid w:val="00992D22"/>
    <w:rsid w:val="00993120"/>
    <w:rsid w:val="00995835"/>
    <w:rsid w:val="00996B12"/>
    <w:rsid w:val="00996F98"/>
    <w:rsid w:val="009976D8"/>
    <w:rsid w:val="00997D28"/>
    <w:rsid w:val="009A0C6D"/>
    <w:rsid w:val="009A11EB"/>
    <w:rsid w:val="009A16E2"/>
    <w:rsid w:val="009A2538"/>
    <w:rsid w:val="009A29A5"/>
    <w:rsid w:val="009A2A0E"/>
    <w:rsid w:val="009A2C24"/>
    <w:rsid w:val="009A2EF3"/>
    <w:rsid w:val="009A5753"/>
    <w:rsid w:val="009A579D"/>
    <w:rsid w:val="009A6A47"/>
    <w:rsid w:val="009A78C9"/>
    <w:rsid w:val="009B0875"/>
    <w:rsid w:val="009B0DE6"/>
    <w:rsid w:val="009B0FD1"/>
    <w:rsid w:val="009B11D4"/>
    <w:rsid w:val="009B1323"/>
    <w:rsid w:val="009B14F6"/>
    <w:rsid w:val="009B2E60"/>
    <w:rsid w:val="009B41E3"/>
    <w:rsid w:val="009B45CF"/>
    <w:rsid w:val="009B48F7"/>
    <w:rsid w:val="009B5A4C"/>
    <w:rsid w:val="009B5B89"/>
    <w:rsid w:val="009B6F8F"/>
    <w:rsid w:val="009C17C1"/>
    <w:rsid w:val="009C2121"/>
    <w:rsid w:val="009C24B0"/>
    <w:rsid w:val="009C27F2"/>
    <w:rsid w:val="009C2BBC"/>
    <w:rsid w:val="009C4EA5"/>
    <w:rsid w:val="009C596C"/>
    <w:rsid w:val="009C5D77"/>
    <w:rsid w:val="009C6538"/>
    <w:rsid w:val="009D2C40"/>
    <w:rsid w:val="009D2F80"/>
    <w:rsid w:val="009D34AA"/>
    <w:rsid w:val="009D3E43"/>
    <w:rsid w:val="009D608E"/>
    <w:rsid w:val="009D69CD"/>
    <w:rsid w:val="009D6BCC"/>
    <w:rsid w:val="009D7042"/>
    <w:rsid w:val="009D7687"/>
    <w:rsid w:val="009D7B22"/>
    <w:rsid w:val="009E1141"/>
    <w:rsid w:val="009E12CD"/>
    <w:rsid w:val="009E3297"/>
    <w:rsid w:val="009E43D6"/>
    <w:rsid w:val="009E4D1D"/>
    <w:rsid w:val="009E5295"/>
    <w:rsid w:val="009F30EE"/>
    <w:rsid w:val="009F3487"/>
    <w:rsid w:val="009F354B"/>
    <w:rsid w:val="009F4E45"/>
    <w:rsid w:val="009F734F"/>
    <w:rsid w:val="009F74B4"/>
    <w:rsid w:val="009F79FC"/>
    <w:rsid w:val="00A00743"/>
    <w:rsid w:val="00A00B08"/>
    <w:rsid w:val="00A01A27"/>
    <w:rsid w:val="00A01FA7"/>
    <w:rsid w:val="00A02A65"/>
    <w:rsid w:val="00A03AA7"/>
    <w:rsid w:val="00A04800"/>
    <w:rsid w:val="00A0498F"/>
    <w:rsid w:val="00A056E4"/>
    <w:rsid w:val="00A0629F"/>
    <w:rsid w:val="00A06F6F"/>
    <w:rsid w:val="00A071D1"/>
    <w:rsid w:val="00A0730C"/>
    <w:rsid w:val="00A07ED6"/>
    <w:rsid w:val="00A10235"/>
    <w:rsid w:val="00A10408"/>
    <w:rsid w:val="00A10621"/>
    <w:rsid w:val="00A10987"/>
    <w:rsid w:val="00A11137"/>
    <w:rsid w:val="00A11536"/>
    <w:rsid w:val="00A11B92"/>
    <w:rsid w:val="00A11EBE"/>
    <w:rsid w:val="00A1221D"/>
    <w:rsid w:val="00A12A5B"/>
    <w:rsid w:val="00A12BBC"/>
    <w:rsid w:val="00A13529"/>
    <w:rsid w:val="00A1354A"/>
    <w:rsid w:val="00A136C0"/>
    <w:rsid w:val="00A13863"/>
    <w:rsid w:val="00A13FCD"/>
    <w:rsid w:val="00A14880"/>
    <w:rsid w:val="00A16147"/>
    <w:rsid w:val="00A1666C"/>
    <w:rsid w:val="00A16B29"/>
    <w:rsid w:val="00A1762A"/>
    <w:rsid w:val="00A2110A"/>
    <w:rsid w:val="00A2146D"/>
    <w:rsid w:val="00A2271E"/>
    <w:rsid w:val="00A2427F"/>
    <w:rsid w:val="00A24572"/>
    <w:rsid w:val="00A246B6"/>
    <w:rsid w:val="00A24937"/>
    <w:rsid w:val="00A250C0"/>
    <w:rsid w:val="00A25D32"/>
    <w:rsid w:val="00A25EDA"/>
    <w:rsid w:val="00A2659C"/>
    <w:rsid w:val="00A30249"/>
    <w:rsid w:val="00A311F4"/>
    <w:rsid w:val="00A313BB"/>
    <w:rsid w:val="00A322E8"/>
    <w:rsid w:val="00A32573"/>
    <w:rsid w:val="00A32EB0"/>
    <w:rsid w:val="00A337E0"/>
    <w:rsid w:val="00A36AF4"/>
    <w:rsid w:val="00A41DEE"/>
    <w:rsid w:val="00A42720"/>
    <w:rsid w:val="00A42B6D"/>
    <w:rsid w:val="00A42E8F"/>
    <w:rsid w:val="00A43999"/>
    <w:rsid w:val="00A4434B"/>
    <w:rsid w:val="00A4721C"/>
    <w:rsid w:val="00A473D6"/>
    <w:rsid w:val="00A47621"/>
    <w:rsid w:val="00A47E70"/>
    <w:rsid w:val="00A50CF0"/>
    <w:rsid w:val="00A51AEB"/>
    <w:rsid w:val="00A51B1A"/>
    <w:rsid w:val="00A52FCE"/>
    <w:rsid w:val="00A5320E"/>
    <w:rsid w:val="00A53216"/>
    <w:rsid w:val="00A54A2F"/>
    <w:rsid w:val="00A556C8"/>
    <w:rsid w:val="00A55F4F"/>
    <w:rsid w:val="00A56E91"/>
    <w:rsid w:val="00A5784C"/>
    <w:rsid w:val="00A57B18"/>
    <w:rsid w:val="00A57BB6"/>
    <w:rsid w:val="00A6108A"/>
    <w:rsid w:val="00A617FF"/>
    <w:rsid w:val="00A61B4B"/>
    <w:rsid w:val="00A61BFD"/>
    <w:rsid w:val="00A61F41"/>
    <w:rsid w:val="00A623A3"/>
    <w:rsid w:val="00A63915"/>
    <w:rsid w:val="00A63C50"/>
    <w:rsid w:val="00A64504"/>
    <w:rsid w:val="00A6497B"/>
    <w:rsid w:val="00A705F0"/>
    <w:rsid w:val="00A70874"/>
    <w:rsid w:val="00A70A92"/>
    <w:rsid w:val="00A70D45"/>
    <w:rsid w:val="00A7200C"/>
    <w:rsid w:val="00A72769"/>
    <w:rsid w:val="00A7423A"/>
    <w:rsid w:val="00A762F5"/>
    <w:rsid w:val="00A7634F"/>
    <w:rsid w:val="00A7671C"/>
    <w:rsid w:val="00A80B3A"/>
    <w:rsid w:val="00A81547"/>
    <w:rsid w:val="00A82890"/>
    <w:rsid w:val="00A83A72"/>
    <w:rsid w:val="00A83C03"/>
    <w:rsid w:val="00A83E36"/>
    <w:rsid w:val="00A85050"/>
    <w:rsid w:val="00A855F0"/>
    <w:rsid w:val="00A85684"/>
    <w:rsid w:val="00A858D1"/>
    <w:rsid w:val="00A85ED3"/>
    <w:rsid w:val="00A86A6C"/>
    <w:rsid w:val="00A86A92"/>
    <w:rsid w:val="00A9304D"/>
    <w:rsid w:val="00A93C2D"/>
    <w:rsid w:val="00A94C1B"/>
    <w:rsid w:val="00A95BBD"/>
    <w:rsid w:val="00A97523"/>
    <w:rsid w:val="00AA06DF"/>
    <w:rsid w:val="00AA2C26"/>
    <w:rsid w:val="00AA2CBC"/>
    <w:rsid w:val="00AA34B3"/>
    <w:rsid w:val="00AA5FD3"/>
    <w:rsid w:val="00AA6F05"/>
    <w:rsid w:val="00AA7BD4"/>
    <w:rsid w:val="00AB0E48"/>
    <w:rsid w:val="00AB14A3"/>
    <w:rsid w:val="00AB20C7"/>
    <w:rsid w:val="00AB2459"/>
    <w:rsid w:val="00AB2B02"/>
    <w:rsid w:val="00AB3A28"/>
    <w:rsid w:val="00AB3C72"/>
    <w:rsid w:val="00AB56F4"/>
    <w:rsid w:val="00AB6859"/>
    <w:rsid w:val="00AB6D1C"/>
    <w:rsid w:val="00AB7D94"/>
    <w:rsid w:val="00AC06D1"/>
    <w:rsid w:val="00AC3E5B"/>
    <w:rsid w:val="00AC3E84"/>
    <w:rsid w:val="00AC46D5"/>
    <w:rsid w:val="00AC5820"/>
    <w:rsid w:val="00AC60ED"/>
    <w:rsid w:val="00AC65A9"/>
    <w:rsid w:val="00AC6654"/>
    <w:rsid w:val="00AC70E3"/>
    <w:rsid w:val="00AD08FF"/>
    <w:rsid w:val="00AD1B05"/>
    <w:rsid w:val="00AD1CA1"/>
    <w:rsid w:val="00AD1CD8"/>
    <w:rsid w:val="00AD21EE"/>
    <w:rsid w:val="00AD2B46"/>
    <w:rsid w:val="00AD3AB1"/>
    <w:rsid w:val="00AD3DF6"/>
    <w:rsid w:val="00AD3FFA"/>
    <w:rsid w:val="00AD4747"/>
    <w:rsid w:val="00AD4C69"/>
    <w:rsid w:val="00AD5113"/>
    <w:rsid w:val="00AD5AE6"/>
    <w:rsid w:val="00AD5D96"/>
    <w:rsid w:val="00AD61E0"/>
    <w:rsid w:val="00AD6933"/>
    <w:rsid w:val="00AD6963"/>
    <w:rsid w:val="00AD6F8E"/>
    <w:rsid w:val="00AD7604"/>
    <w:rsid w:val="00AE040B"/>
    <w:rsid w:val="00AE083D"/>
    <w:rsid w:val="00AE162E"/>
    <w:rsid w:val="00AE18CA"/>
    <w:rsid w:val="00AE3531"/>
    <w:rsid w:val="00AE37A4"/>
    <w:rsid w:val="00AE3A08"/>
    <w:rsid w:val="00AE3AD3"/>
    <w:rsid w:val="00AE4BB2"/>
    <w:rsid w:val="00AE51D2"/>
    <w:rsid w:val="00AE54C2"/>
    <w:rsid w:val="00AE6174"/>
    <w:rsid w:val="00AE69B6"/>
    <w:rsid w:val="00AE7498"/>
    <w:rsid w:val="00AE76AA"/>
    <w:rsid w:val="00AF0DC2"/>
    <w:rsid w:val="00AF0F56"/>
    <w:rsid w:val="00AF118A"/>
    <w:rsid w:val="00AF2954"/>
    <w:rsid w:val="00AF2E38"/>
    <w:rsid w:val="00AF41CD"/>
    <w:rsid w:val="00AF49DF"/>
    <w:rsid w:val="00AF528D"/>
    <w:rsid w:val="00AF6406"/>
    <w:rsid w:val="00AF6B22"/>
    <w:rsid w:val="00AF77F4"/>
    <w:rsid w:val="00B00404"/>
    <w:rsid w:val="00B00DF4"/>
    <w:rsid w:val="00B021A5"/>
    <w:rsid w:val="00B0321A"/>
    <w:rsid w:val="00B03657"/>
    <w:rsid w:val="00B051D9"/>
    <w:rsid w:val="00B05503"/>
    <w:rsid w:val="00B056A9"/>
    <w:rsid w:val="00B06011"/>
    <w:rsid w:val="00B06545"/>
    <w:rsid w:val="00B06AC0"/>
    <w:rsid w:val="00B071D7"/>
    <w:rsid w:val="00B07D1A"/>
    <w:rsid w:val="00B07DF7"/>
    <w:rsid w:val="00B07F5B"/>
    <w:rsid w:val="00B109F2"/>
    <w:rsid w:val="00B10C02"/>
    <w:rsid w:val="00B13B63"/>
    <w:rsid w:val="00B144E6"/>
    <w:rsid w:val="00B14511"/>
    <w:rsid w:val="00B14F1B"/>
    <w:rsid w:val="00B15075"/>
    <w:rsid w:val="00B16F71"/>
    <w:rsid w:val="00B210D7"/>
    <w:rsid w:val="00B2216D"/>
    <w:rsid w:val="00B23520"/>
    <w:rsid w:val="00B244E1"/>
    <w:rsid w:val="00B24C16"/>
    <w:rsid w:val="00B258BB"/>
    <w:rsid w:val="00B259FD"/>
    <w:rsid w:val="00B305E2"/>
    <w:rsid w:val="00B30F5F"/>
    <w:rsid w:val="00B31065"/>
    <w:rsid w:val="00B31A79"/>
    <w:rsid w:val="00B3233E"/>
    <w:rsid w:val="00B3417B"/>
    <w:rsid w:val="00B348A1"/>
    <w:rsid w:val="00B35E1A"/>
    <w:rsid w:val="00B35F20"/>
    <w:rsid w:val="00B4218A"/>
    <w:rsid w:val="00B4220A"/>
    <w:rsid w:val="00B42878"/>
    <w:rsid w:val="00B42A10"/>
    <w:rsid w:val="00B43147"/>
    <w:rsid w:val="00B43149"/>
    <w:rsid w:val="00B44E7E"/>
    <w:rsid w:val="00B45A85"/>
    <w:rsid w:val="00B468DA"/>
    <w:rsid w:val="00B47D09"/>
    <w:rsid w:val="00B51C1B"/>
    <w:rsid w:val="00B52C49"/>
    <w:rsid w:val="00B5548F"/>
    <w:rsid w:val="00B61A70"/>
    <w:rsid w:val="00B62EEC"/>
    <w:rsid w:val="00B62FF6"/>
    <w:rsid w:val="00B6315A"/>
    <w:rsid w:val="00B63540"/>
    <w:rsid w:val="00B63DEA"/>
    <w:rsid w:val="00B640E9"/>
    <w:rsid w:val="00B6478F"/>
    <w:rsid w:val="00B67222"/>
    <w:rsid w:val="00B67B97"/>
    <w:rsid w:val="00B67DE8"/>
    <w:rsid w:val="00B7050D"/>
    <w:rsid w:val="00B71568"/>
    <w:rsid w:val="00B7187B"/>
    <w:rsid w:val="00B71A25"/>
    <w:rsid w:val="00B71FA3"/>
    <w:rsid w:val="00B72072"/>
    <w:rsid w:val="00B74446"/>
    <w:rsid w:val="00B75FCE"/>
    <w:rsid w:val="00B766D2"/>
    <w:rsid w:val="00B76772"/>
    <w:rsid w:val="00B76ECA"/>
    <w:rsid w:val="00B7798C"/>
    <w:rsid w:val="00B801F6"/>
    <w:rsid w:val="00B80771"/>
    <w:rsid w:val="00B808E1"/>
    <w:rsid w:val="00B82DDE"/>
    <w:rsid w:val="00B83A53"/>
    <w:rsid w:val="00B8510E"/>
    <w:rsid w:val="00B8725F"/>
    <w:rsid w:val="00B91676"/>
    <w:rsid w:val="00B92DD3"/>
    <w:rsid w:val="00B92EA5"/>
    <w:rsid w:val="00B930E8"/>
    <w:rsid w:val="00B9354E"/>
    <w:rsid w:val="00B9358A"/>
    <w:rsid w:val="00B93D33"/>
    <w:rsid w:val="00B95242"/>
    <w:rsid w:val="00B9568A"/>
    <w:rsid w:val="00B96031"/>
    <w:rsid w:val="00B964A2"/>
    <w:rsid w:val="00B967B5"/>
    <w:rsid w:val="00B968C8"/>
    <w:rsid w:val="00BA07F1"/>
    <w:rsid w:val="00BA0B54"/>
    <w:rsid w:val="00BA168D"/>
    <w:rsid w:val="00BA227E"/>
    <w:rsid w:val="00BA2AD7"/>
    <w:rsid w:val="00BA3C13"/>
    <w:rsid w:val="00BA3EC5"/>
    <w:rsid w:val="00BA42F4"/>
    <w:rsid w:val="00BA51D9"/>
    <w:rsid w:val="00BA67A4"/>
    <w:rsid w:val="00BA7173"/>
    <w:rsid w:val="00BA7463"/>
    <w:rsid w:val="00BB1AB2"/>
    <w:rsid w:val="00BB1BE3"/>
    <w:rsid w:val="00BB2DC3"/>
    <w:rsid w:val="00BB589F"/>
    <w:rsid w:val="00BB5D8F"/>
    <w:rsid w:val="00BB5DFC"/>
    <w:rsid w:val="00BB6237"/>
    <w:rsid w:val="00BC320D"/>
    <w:rsid w:val="00BC40E8"/>
    <w:rsid w:val="00BC4BD1"/>
    <w:rsid w:val="00BC51E7"/>
    <w:rsid w:val="00BC571E"/>
    <w:rsid w:val="00BC7162"/>
    <w:rsid w:val="00BC7445"/>
    <w:rsid w:val="00BD23E4"/>
    <w:rsid w:val="00BD260F"/>
    <w:rsid w:val="00BD279D"/>
    <w:rsid w:val="00BD38F8"/>
    <w:rsid w:val="00BD3BC8"/>
    <w:rsid w:val="00BD5980"/>
    <w:rsid w:val="00BD6884"/>
    <w:rsid w:val="00BD6BB8"/>
    <w:rsid w:val="00BD6CFE"/>
    <w:rsid w:val="00BD7E02"/>
    <w:rsid w:val="00BE0C9C"/>
    <w:rsid w:val="00BE107C"/>
    <w:rsid w:val="00BE1197"/>
    <w:rsid w:val="00BE214D"/>
    <w:rsid w:val="00BE224A"/>
    <w:rsid w:val="00BE2F35"/>
    <w:rsid w:val="00BE4451"/>
    <w:rsid w:val="00BE7787"/>
    <w:rsid w:val="00BF095C"/>
    <w:rsid w:val="00BF0B2A"/>
    <w:rsid w:val="00BF0FEF"/>
    <w:rsid w:val="00BF131E"/>
    <w:rsid w:val="00BF28FD"/>
    <w:rsid w:val="00BF6027"/>
    <w:rsid w:val="00BF791C"/>
    <w:rsid w:val="00BF7C4F"/>
    <w:rsid w:val="00C00DCC"/>
    <w:rsid w:val="00C015D0"/>
    <w:rsid w:val="00C0241A"/>
    <w:rsid w:val="00C0303C"/>
    <w:rsid w:val="00C04B23"/>
    <w:rsid w:val="00C04EF4"/>
    <w:rsid w:val="00C0695F"/>
    <w:rsid w:val="00C07468"/>
    <w:rsid w:val="00C074C9"/>
    <w:rsid w:val="00C105ED"/>
    <w:rsid w:val="00C1079A"/>
    <w:rsid w:val="00C10844"/>
    <w:rsid w:val="00C11F76"/>
    <w:rsid w:val="00C12382"/>
    <w:rsid w:val="00C12F08"/>
    <w:rsid w:val="00C13832"/>
    <w:rsid w:val="00C15146"/>
    <w:rsid w:val="00C165B6"/>
    <w:rsid w:val="00C16DF8"/>
    <w:rsid w:val="00C17546"/>
    <w:rsid w:val="00C200EB"/>
    <w:rsid w:val="00C20275"/>
    <w:rsid w:val="00C206D1"/>
    <w:rsid w:val="00C20A10"/>
    <w:rsid w:val="00C21DD1"/>
    <w:rsid w:val="00C21F70"/>
    <w:rsid w:val="00C22DA5"/>
    <w:rsid w:val="00C22EC0"/>
    <w:rsid w:val="00C231F5"/>
    <w:rsid w:val="00C2420E"/>
    <w:rsid w:val="00C2563E"/>
    <w:rsid w:val="00C25F98"/>
    <w:rsid w:val="00C26462"/>
    <w:rsid w:val="00C26D8E"/>
    <w:rsid w:val="00C30A3E"/>
    <w:rsid w:val="00C31713"/>
    <w:rsid w:val="00C31ED3"/>
    <w:rsid w:val="00C32E53"/>
    <w:rsid w:val="00C3443B"/>
    <w:rsid w:val="00C357A0"/>
    <w:rsid w:val="00C37584"/>
    <w:rsid w:val="00C376B7"/>
    <w:rsid w:val="00C37A22"/>
    <w:rsid w:val="00C4153D"/>
    <w:rsid w:val="00C425D3"/>
    <w:rsid w:val="00C43114"/>
    <w:rsid w:val="00C4379A"/>
    <w:rsid w:val="00C44D62"/>
    <w:rsid w:val="00C4530E"/>
    <w:rsid w:val="00C508BF"/>
    <w:rsid w:val="00C517AA"/>
    <w:rsid w:val="00C51975"/>
    <w:rsid w:val="00C51D3A"/>
    <w:rsid w:val="00C52178"/>
    <w:rsid w:val="00C5269A"/>
    <w:rsid w:val="00C53170"/>
    <w:rsid w:val="00C5338E"/>
    <w:rsid w:val="00C53B2D"/>
    <w:rsid w:val="00C54881"/>
    <w:rsid w:val="00C54E75"/>
    <w:rsid w:val="00C54F07"/>
    <w:rsid w:val="00C556FE"/>
    <w:rsid w:val="00C55731"/>
    <w:rsid w:val="00C558F2"/>
    <w:rsid w:val="00C57C17"/>
    <w:rsid w:val="00C604D3"/>
    <w:rsid w:val="00C616A2"/>
    <w:rsid w:val="00C61A97"/>
    <w:rsid w:val="00C61B17"/>
    <w:rsid w:val="00C6267B"/>
    <w:rsid w:val="00C644E8"/>
    <w:rsid w:val="00C6477F"/>
    <w:rsid w:val="00C64ADE"/>
    <w:rsid w:val="00C65706"/>
    <w:rsid w:val="00C66BA2"/>
    <w:rsid w:val="00C672ED"/>
    <w:rsid w:val="00C67D6A"/>
    <w:rsid w:val="00C70069"/>
    <w:rsid w:val="00C7130B"/>
    <w:rsid w:val="00C71722"/>
    <w:rsid w:val="00C72577"/>
    <w:rsid w:val="00C72DA7"/>
    <w:rsid w:val="00C7448F"/>
    <w:rsid w:val="00C748BF"/>
    <w:rsid w:val="00C802A9"/>
    <w:rsid w:val="00C809B8"/>
    <w:rsid w:val="00C80ED6"/>
    <w:rsid w:val="00C816B4"/>
    <w:rsid w:val="00C817D7"/>
    <w:rsid w:val="00C81C87"/>
    <w:rsid w:val="00C82666"/>
    <w:rsid w:val="00C82B79"/>
    <w:rsid w:val="00C83D1C"/>
    <w:rsid w:val="00C83E94"/>
    <w:rsid w:val="00C84C90"/>
    <w:rsid w:val="00C85164"/>
    <w:rsid w:val="00C85F01"/>
    <w:rsid w:val="00C8788E"/>
    <w:rsid w:val="00C900C7"/>
    <w:rsid w:val="00C90363"/>
    <w:rsid w:val="00C90D07"/>
    <w:rsid w:val="00C913B5"/>
    <w:rsid w:val="00C9174D"/>
    <w:rsid w:val="00C92800"/>
    <w:rsid w:val="00C93AE8"/>
    <w:rsid w:val="00C9462E"/>
    <w:rsid w:val="00C946D1"/>
    <w:rsid w:val="00C94B65"/>
    <w:rsid w:val="00C94DD9"/>
    <w:rsid w:val="00C95985"/>
    <w:rsid w:val="00C95B5F"/>
    <w:rsid w:val="00C96D45"/>
    <w:rsid w:val="00C97D32"/>
    <w:rsid w:val="00CA06AC"/>
    <w:rsid w:val="00CA1489"/>
    <w:rsid w:val="00CA26B7"/>
    <w:rsid w:val="00CA49C2"/>
    <w:rsid w:val="00CA5819"/>
    <w:rsid w:val="00CA5EE1"/>
    <w:rsid w:val="00CA6DA2"/>
    <w:rsid w:val="00CA7370"/>
    <w:rsid w:val="00CB0116"/>
    <w:rsid w:val="00CB2779"/>
    <w:rsid w:val="00CB2ADE"/>
    <w:rsid w:val="00CB2D23"/>
    <w:rsid w:val="00CB33F8"/>
    <w:rsid w:val="00CB53EC"/>
    <w:rsid w:val="00CB6176"/>
    <w:rsid w:val="00CB76DF"/>
    <w:rsid w:val="00CB7892"/>
    <w:rsid w:val="00CC007D"/>
    <w:rsid w:val="00CC0624"/>
    <w:rsid w:val="00CC1CE6"/>
    <w:rsid w:val="00CC32D4"/>
    <w:rsid w:val="00CC3943"/>
    <w:rsid w:val="00CC5026"/>
    <w:rsid w:val="00CC68D0"/>
    <w:rsid w:val="00CC6C22"/>
    <w:rsid w:val="00CC71AD"/>
    <w:rsid w:val="00CC7433"/>
    <w:rsid w:val="00CC74BA"/>
    <w:rsid w:val="00CC758E"/>
    <w:rsid w:val="00CC7A1E"/>
    <w:rsid w:val="00CC7D06"/>
    <w:rsid w:val="00CC7DDE"/>
    <w:rsid w:val="00CC7F86"/>
    <w:rsid w:val="00CD003F"/>
    <w:rsid w:val="00CD0C72"/>
    <w:rsid w:val="00CD10D2"/>
    <w:rsid w:val="00CD1B80"/>
    <w:rsid w:val="00CD2FFE"/>
    <w:rsid w:val="00CD3E52"/>
    <w:rsid w:val="00CD45E5"/>
    <w:rsid w:val="00CD5379"/>
    <w:rsid w:val="00CD6B1C"/>
    <w:rsid w:val="00CD6F2E"/>
    <w:rsid w:val="00CE0658"/>
    <w:rsid w:val="00CE0C2F"/>
    <w:rsid w:val="00CE1CC9"/>
    <w:rsid w:val="00CE3CC6"/>
    <w:rsid w:val="00CE46C7"/>
    <w:rsid w:val="00CE61FC"/>
    <w:rsid w:val="00CE7B28"/>
    <w:rsid w:val="00CF0338"/>
    <w:rsid w:val="00CF07FA"/>
    <w:rsid w:val="00CF0CCD"/>
    <w:rsid w:val="00CF1039"/>
    <w:rsid w:val="00CF32AE"/>
    <w:rsid w:val="00CF3A27"/>
    <w:rsid w:val="00CF458A"/>
    <w:rsid w:val="00CF46AA"/>
    <w:rsid w:val="00CF4788"/>
    <w:rsid w:val="00CF5227"/>
    <w:rsid w:val="00CF56DE"/>
    <w:rsid w:val="00CF67A7"/>
    <w:rsid w:val="00CF7834"/>
    <w:rsid w:val="00D01872"/>
    <w:rsid w:val="00D01AE5"/>
    <w:rsid w:val="00D01B46"/>
    <w:rsid w:val="00D01E4E"/>
    <w:rsid w:val="00D02631"/>
    <w:rsid w:val="00D03F9A"/>
    <w:rsid w:val="00D06D51"/>
    <w:rsid w:val="00D1047D"/>
    <w:rsid w:val="00D1157F"/>
    <w:rsid w:val="00D11DF2"/>
    <w:rsid w:val="00D12A6B"/>
    <w:rsid w:val="00D1308E"/>
    <w:rsid w:val="00D13CD8"/>
    <w:rsid w:val="00D142C3"/>
    <w:rsid w:val="00D15963"/>
    <w:rsid w:val="00D167C9"/>
    <w:rsid w:val="00D20B82"/>
    <w:rsid w:val="00D21555"/>
    <w:rsid w:val="00D22275"/>
    <w:rsid w:val="00D22847"/>
    <w:rsid w:val="00D23968"/>
    <w:rsid w:val="00D23E71"/>
    <w:rsid w:val="00D23FE0"/>
    <w:rsid w:val="00D2442C"/>
    <w:rsid w:val="00D2451D"/>
    <w:rsid w:val="00D24991"/>
    <w:rsid w:val="00D31EE3"/>
    <w:rsid w:val="00D32141"/>
    <w:rsid w:val="00D33983"/>
    <w:rsid w:val="00D33D15"/>
    <w:rsid w:val="00D349AE"/>
    <w:rsid w:val="00D36A84"/>
    <w:rsid w:val="00D37363"/>
    <w:rsid w:val="00D373DC"/>
    <w:rsid w:val="00D37954"/>
    <w:rsid w:val="00D37A78"/>
    <w:rsid w:val="00D4007A"/>
    <w:rsid w:val="00D401C2"/>
    <w:rsid w:val="00D40925"/>
    <w:rsid w:val="00D40D61"/>
    <w:rsid w:val="00D448BE"/>
    <w:rsid w:val="00D44F9B"/>
    <w:rsid w:val="00D47221"/>
    <w:rsid w:val="00D47E62"/>
    <w:rsid w:val="00D50255"/>
    <w:rsid w:val="00D52A31"/>
    <w:rsid w:val="00D535EC"/>
    <w:rsid w:val="00D5430A"/>
    <w:rsid w:val="00D55A45"/>
    <w:rsid w:val="00D55AD7"/>
    <w:rsid w:val="00D55BA7"/>
    <w:rsid w:val="00D56361"/>
    <w:rsid w:val="00D5654A"/>
    <w:rsid w:val="00D60BD2"/>
    <w:rsid w:val="00D60FFB"/>
    <w:rsid w:val="00D6106C"/>
    <w:rsid w:val="00D61122"/>
    <w:rsid w:val="00D630BA"/>
    <w:rsid w:val="00D636AC"/>
    <w:rsid w:val="00D63A0C"/>
    <w:rsid w:val="00D64311"/>
    <w:rsid w:val="00D664A3"/>
    <w:rsid w:val="00D66520"/>
    <w:rsid w:val="00D67959"/>
    <w:rsid w:val="00D7065A"/>
    <w:rsid w:val="00D70B57"/>
    <w:rsid w:val="00D71993"/>
    <w:rsid w:val="00D73212"/>
    <w:rsid w:val="00D73D9E"/>
    <w:rsid w:val="00D75886"/>
    <w:rsid w:val="00D76966"/>
    <w:rsid w:val="00D80A06"/>
    <w:rsid w:val="00D80AFC"/>
    <w:rsid w:val="00D82763"/>
    <w:rsid w:val="00D83380"/>
    <w:rsid w:val="00D844E4"/>
    <w:rsid w:val="00D84604"/>
    <w:rsid w:val="00D84728"/>
    <w:rsid w:val="00D84CC4"/>
    <w:rsid w:val="00D85297"/>
    <w:rsid w:val="00D85A33"/>
    <w:rsid w:val="00D8619C"/>
    <w:rsid w:val="00D86251"/>
    <w:rsid w:val="00D86BE2"/>
    <w:rsid w:val="00D870D7"/>
    <w:rsid w:val="00D87B5B"/>
    <w:rsid w:val="00D9083D"/>
    <w:rsid w:val="00D930A2"/>
    <w:rsid w:val="00D94C93"/>
    <w:rsid w:val="00D94E61"/>
    <w:rsid w:val="00D95B0C"/>
    <w:rsid w:val="00D95BD4"/>
    <w:rsid w:val="00D96FD0"/>
    <w:rsid w:val="00D97642"/>
    <w:rsid w:val="00DA2DFA"/>
    <w:rsid w:val="00DA3D23"/>
    <w:rsid w:val="00DA43DE"/>
    <w:rsid w:val="00DA4BAF"/>
    <w:rsid w:val="00DA55AF"/>
    <w:rsid w:val="00DA57B9"/>
    <w:rsid w:val="00DA661D"/>
    <w:rsid w:val="00DA6981"/>
    <w:rsid w:val="00DA7131"/>
    <w:rsid w:val="00DA776A"/>
    <w:rsid w:val="00DB0986"/>
    <w:rsid w:val="00DB49E0"/>
    <w:rsid w:val="00DB6F8C"/>
    <w:rsid w:val="00DB7052"/>
    <w:rsid w:val="00DB7CE0"/>
    <w:rsid w:val="00DC16A3"/>
    <w:rsid w:val="00DC1A5C"/>
    <w:rsid w:val="00DC361E"/>
    <w:rsid w:val="00DC37C7"/>
    <w:rsid w:val="00DC4156"/>
    <w:rsid w:val="00DC4215"/>
    <w:rsid w:val="00DC455D"/>
    <w:rsid w:val="00DC4AA8"/>
    <w:rsid w:val="00DC4E61"/>
    <w:rsid w:val="00DD01DD"/>
    <w:rsid w:val="00DD06DB"/>
    <w:rsid w:val="00DD196E"/>
    <w:rsid w:val="00DD2676"/>
    <w:rsid w:val="00DD3DF0"/>
    <w:rsid w:val="00DD5397"/>
    <w:rsid w:val="00DE11CC"/>
    <w:rsid w:val="00DE2CE3"/>
    <w:rsid w:val="00DE3182"/>
    <w:rsid w:val="00DE34CF"/>
    <w:rsid w:val="00DE3D6A"/>
    <w:rsid w:val="00DE40DC"/>
    <w:rsid w:val="00DE4AF9"/>
    <w:rsid w:val="00DE4C41"/>
    <w:rsid w:val="00DE513C"/>
    <w:rsid w:val="00DE628D"/>
    <w:rsid w:val="00DE715A"/>
    <w:rsid w:val="00DE7528"/>
    <w:rsid w:val="00DE78BC"/>
    <w:rsid w:val="00DE7F72"/>
    <w:rsid w:val="00DF22E3"/>
    <w:rsid w:val="00DF2D62"/>
    <w:rsid w:val="00DF2EA0"/>
    <w:rsid w:val="00DF3498"/>
    <w:rsid w:val="00DF460E"/>
    <w:rsid w:val="00DF4F1A"/>
    <w:rsid w:val="00DF5518"/>
    <w:rsid w:val="00DF5C62"/>
    <w:rsid w:val="00DF6BFD"/>
    <w:rsid w:val="00DF7969"/>
    <w:rsid w:val="00DF7FF7"/>
    <w:rsid w:val="00E0021D"/>
    <w:rsid w:val="00E014BA"/>
    <w:rsid w:val="00E0277E"/>
    <w:rsid w:val="00E02C8C"/>
    <w:rsid w:val="00E0329F"/>
    <w:rsid w:val="00E04430"/>
    <w:rsid w:val="00E055D5"/>
    <w:rsid w:val="00E05D8A"/>
    <w:rsid w:val="00E07818"/>
    <w:rsid w:val="00E07C47"/>
    <w:rsid w:val="00E105F7"/>
    <w:rsid w:val="00E10B93"/>
    <w:rsid w:val="00E11C39"/>
    <w:rsid w:val="00E11C95"/>
    <w:rsid w:val="00E13F3D"/>
    <w:rsid w:val="00E13F52"/>
    <w:rsid w:val="00E155C2"/>
    <w:rsid w:val="00E17885"/>
    <w:rsid w:val="00E20AD7"/>
    <w:rsid w:val="00E20B30"/>
    <w:rsid w:val="00E2184B"/>
    <w:rsid w:val="00E21BFE"/>
    <w:rsid w:val="00E239B0"/>
    <w:rsid w:val="00E23BD3"/>
    <w:rsid w:val="00E23E23"/>
    <w:rsid w:val="00E248A3"/>
    <w:rsid w:val="00E24987"/>
    <w:rsid w:val="00E24AF8"/>
    <w:rsid w:val="00E25A98"/>
    <w:rsid w:val="00E25F22"/>
    <w:rsid w:val="00E26F9E"/>
    <w:rsid w:val="00E27104"/>
    <w:rsid w:val="00E306C7"/>
    <w:rsid w:val="00E30EC3"/>
    <w:rsid w:val="00E327CC"/>
    <w:rsid w:val="00E34122"/>
    <w:rsid w:val="00E34898"/>
    <w:rsid w:val="00E354F4"/>
    <w:rsid w:val="00E36402"/>
    <w:rsid w:val="00E36B9A"/>
    <w:rsid w:val="00E3703E"/>
    <w:rsid w:val="00E37249"/>
    <w:rsid w:val="00E37600"/>
    <w:rsid w:val="00E37B0B"/>
    <w:rsid w:val="00E402A1"/>
    <w:rsid w:val="00E411F9"/>
    <w:rsid w:val="00E4145C"/>
    <w:rsid w:val="00E422CE"/>
    <w:rsid w:val="00E42B9B"/>
    <w:rsid w:val="00E43724"/>
    <w:rsid w:val="00E43993"/>
    <w:rsid w:val="00E43A1A"/>
    <w:rsid w:val="00E43E01"/>
    <w:rsid w:val="00E44DE2"/>
    <w:rsid w:val="00E4673E"/>
    <w:rsid w:val="00E4747D"/>
    <w:rsid w:val="00E47732"/>
    <w:rsid w:val="00E47F0D"/>
    <w:rsid w:val="00E50C16"/>
    <w:rsid w:val="00E52410"/>
    <w:rsid w:val="00E5308D"/>
    <w:rsid w:val="00E536FD"/>
    <w:rsid w:val="00E539E4"/>
    <w:rsid w:val="00E556A2"/>
    <w:rsid w:val="00E604C3"/>
    <w:rsid w:val="00E60522"/>
    <w:rsid w:val="00E61420"/>
    <w:rsid w:val="00E6146E"/>
    <w:rsid w:val="00E6159E"/>
    <w:rsid w:val="00E61AC6"/>
    <w:rsid w:val="00E61D6A"/>
    <w:rsid w:val="00E62EFE"/>
    <w:rsid w:val="00E661DE"/>
    <w:rsid w:val="00E6629E"/>
    <w:rsid w:val="00E66AE6"/>
    <w:rsid w:val="00E67391"/>
    <w:rsid w:val="00E6780A"/>
    <w:rsid w:val="00E67AFD"/>
    <w:rsid w:val="00E70731"/>
    <w:rsid w:val="00E72940"/>
    <w:rsid w:val="00E72958"/>
    <w:rsid w:val="00E73829"/>
    <w:rsid w:val="00E74215"/>
    <w:rsid w:val="00E7525B"/>
    <w:rsid w:val="00E75650"/>
    <w:rsid w:val="00E766F7"/>
    <w:rsid w:val="00E7678C"/>
    <w:rsid w:val="00E80982"/>
    <w:rsid w:val="00E80ADA"/>
    <w:rsid w:val="00E80C52"/>
    <w:rsid w:val="00E82AEE"/>
    <w:rsid w:val="00E831C4"/>
    <w:rsid w:val="00E83442"/>
    <w:rsid w:val="00E83649"/>
    <w:rsid w:val="00E85FE8"/>
    <w:rsid w:val="00E87FFE"/>
    <w:rsid w:val="00E904BA"/>
    <w:rsid w:val="00E92EFD"/>
    <w:rsid w:val="00E93321"/>
    <w:rsid w:val="00E93E7B"/>
    <w:rsid w:val="00E96277"/>
    <w:rsid w:val="00E966FA"/>
    <w:rsid w:val="00EA0174"/>
    <w:rsid w:val="00EA0239"/>
    <w:rsid w:val="00EA0242"/>
    <w:rsid w:val="00EA0416"/>
    <w:rsid w:val="00EA2410"/>
    <w:rsid w:val="00EA2F5C"/>
    <w:rsid w:val="00EA356F"/>
    <w:rsid w:val="00EA3784"/>
    <w:rsid w:val="00EA4941"/>
    <w:rsid w:val="00EA590F"/>
    <w:rsid w:val="00EA6572"/>
    <w:rsid w:val="00EB0511"/>
    <w:rsid w:val="00EB060F"/>
    <w:rsid w:val="00EB09B7"/>
    <w:rsid w:val="00EB0F05"/>
    <w:rsid w:val="00EB1420"/>
    <w:rsid w:val="00EB2B47"/>
    <w:rsid w:val="00EB39B2"/>
    <w:rsid w:val="00EB4685"/>
    <w:rsid w:val="00EB48B1"/>
    <w:rsid w:val="00EB5719"/>
    <w:rsid w:val="00EB5F69"/>
    <w:rsid w:val="00EB6C50"/>
    <w:rsid w:val="00EB6F80"/>
    <w:rsid w:val="00EB7A9D"/>
    <w:rsid w:val="00EB7C23"/>
    <w:rsid w:val="00EB7DDF"/>
    <w:rsid w:val="00EC05FF"/>
    <w:rsid w:val="00EC224A"/>
    <w:rsid w:val="00EC226E"/>
    <w:rsid w:val="00EC308C"/>
    <w:rsid w:val="00EC4B69"/>
    <w:rsid w:val="00EC60F5"/>
    <w:rsid w:val="00EC6413"/>
    <w:rsid w:val="00EC66E4"/>
    <w:rsid w:val="00EC67F3"/>
    <w:rsid w:val="00EC7332"/>
    <w:rsid w:val="00EC7937"/>
    <w:rsid w:val="00EC7CBA"/>
    <w:rsid w:val="00ED00D3"/>
    <w:rsid w:val="00ED025E"/>
    <w:rsid w:val="00ED2664"/>
    <w:rsid w:val="00ED2736"/>
    <w:rsid w:val="00ED298E"/>
    <w:rsid w:val="00ED2991"/>
    <w:rsid w:val="00ED3C2B"/>
    <w:rsid w:val="00ED3C9A"/>
    <w:rsid w:val="00ED5687"/>
    <w:rsid w:val="00ED594C"/>
    <w:rsid w:val="00ED5BE0"/>
    <w:rsid w:val="00ED649F"/>
    <w:rsid w:val="00ED7559"/>
    <w:rsid w:val="00ED7A14"/>
    <w:rsid w:val="00EE194E"/>
    <w:rsid w:val="00EE2EB6"/>
    <w:rsid w:val="00EE572E"/>
    <w:rsid w:val="00EE6E15"/>
    <w:rsid w:val="00EE7D7C"/>
    <w:rsid w:val="00EF0818"/>
    <w:rsid w:val="00EF17C3"/>
    <w:rsid w:val="00EF23BA"/>
    <w:rsid w:val="00EF2E95"/>
    <w:rsid w:val="00EF3E37"/>
    <w:rsid w:val="00EF470B"/>
    <w:rsid w:val="00EF488C"/>
    <w:rsid w:val="00EF54DD"/>
    <w:rsid w:val="00EF628B"/>
    <w:rsid w:val="00EF7A15"/>
    <w:rsid w:val="00F00BB4"/>
    <w:rsid w:val="00F011BB"/>
    <w:rsid w:val="00F01811"/>
    <w:rsid w:val="00F02A86"/>
    <w:rsid w:val="00F057E4"/>
    <w:rsid w:val="00F05ACE"/>
    <w:rsid w:val="00F05CE5"/>
    <w:rsid w:val="00F06F22"/>
    <w:rsid w:val="00F077FD"/>
    <w:rsid w:val="00F07884"/>
    <w:rsid w:val="00F105E9"/>
    <w:rsid w:val="00F1189C"/>
    <w:rsid w:val="00F12052"/>
    <w:rsid w:val="00F1215E"/>
    <w:rsid w:val="00F1429A"/>
    <w:rsid w:val="00F148ED"/>
    <w:rsid w:val="00F1596D"/>
    <w:rsid w:val="00F15A21"/>
    <w:rsid w:val="00F15DA7"/>
    <w:rsid w:val="00F16636"/>
    <w:rsid w:val="00F17550"/>
    <w:rsid w:val="00F17B18"/>
    <w:rsid w:val="00F2040A"/>
    <w:rsid w:val="00F214FF"/>
    <w:rsid w:val="00F230A3"/>
    <w:rsid w:val="00F24EBF"/>
    <w:rsid w:val="00F25D98"/>
    <w:rsid w:val="00F270C9"/>
    <w:rsid w:val="00F27FCC"/>
    <w:rsid w:val="00F300FB"/>
    <w:rsid w:val="00F30789"/>
    <w:rsid w:val="00F3107A"/>
    <w:rsid w:val="00F312E5"/>
    <w:rsid w:val="00F31AE5"/>
    <w:rsid w:val="00F31F67"/>
    <w:rsid w:val="00F327DF"/>
    <w:rsid w:val="00F328C1"/>
    <w:rsid w:val="00F333CC"/>
    <w:rsid w:val="00F33EF9"/>
    <w:rsid w:val="00F35021"/>
    <w:rsid w:val="00F36ABE"/>
    <w:rsid w:val="00F36B69"/>
    <w:rsid w:val="00F376BE"/>
    <w:rsid w:val="00F377D5"/>
    <w:rsid w:val="00F40DE6"/>
    <w:rsid w:val="00F41907"/>
    <w:rsid w:val="00F4247D"/>
    <w:rsid w:val="00F424F8"/>
    <w:rsid w:val="00F42D05"/>
    <w:rsid w:val="00F433FB"/>
    <w:rsid w:val="00F43B54"/>
    <w:rsid w:val="00F43FE9"/>
    <w:rsid w:val="00F445FB"/>
    <w:rsid w:val="00F476D5"/>
    <w:rsid w:val="00F47726"/>
    <w:rsid w:val="00F477A5"/>
    <w:rsid w:val="00F479EF"/>
    <w:rsid w:val="00F5027D"/>
    <w:rsid w:val="00F50394"/>
    <w:rsid w:val="00F5056C"/>
    <w:rsid w:val="00F5086D"/>
    <w:rsid w:val="00F52B3D"/>
    <w:rsid w:val="00F53DE2"/>
    <w:rsid w:val="00F5446A"/>
    <w:rsid w:val="00F55018"/>
    <w:rsid w:val="00F555D9"/>
    <w:rsid w:val="00F55DA1"/>
    <w:rsid w:val="00F56130"/>
    <w:rsid w:val="00F56DC5"/>
    <w:rsid w:val="00F56E0F"/>
    <w:rsid w:val="00F5729A"/>
    <w:rsid w:val="00F57DFE"/>
    <w:rsid w:val="00F57E75"/>
    <w:rsid w:val="00F62458"/>
    <w:rsid w:val="00F62744"/>
    <w:rsid w:val="00F62CE1"/>
    <w:rsid w:val="00F63003"/>
    <w:rsid w:val="00F64D31"/>
    <w:rsid w:val="00F64ED3"/>
    <w:rsid w:val="00F654AD"/>
    <w:rsid w:val="00F65928"/>
    <w:rsid w:val="00F65D6B"/>
    <w:rsid w:val="00F669AF"/>
    <w:rsid w:val="00F70224"/>
    <w:rsid w:val="00F710E9"/>
    <w:rsid w:val="00F718C5"/>
    <w:rsid w:val="00F7225C"/>
    <w:rsid w:val="00F728B3"/>
    <w:rsid w:val="00F72FBE"/>
    <w:rsid w:val="00F74907"/>
    <w:rsid w:val="00F75602"/>
    <w:rsid w:val="00F763A7"/>
    <w:rsid w:val="00F77532"/>
    <w:rsid w:val="00F77D24"/>
    <w:rsid w:val="00F77E84"/>
    <w:rsid w:val="00F77ED7"/>
    <w:rsid w:val="00F805BE"/>
    <w:rsid w:val="00F811E4"/>
    <w:rsid w:val="00F8233A"/>
    <w:rsid w:val="00F82DCB"/>
    <w:rsid w:val="00F82EDC"/>
    <w:rsid w:val="00F84320"/>
    <w:rsid w:val="00F84972"/>
    <w:rsid w:val="00F8502A"/>
    <w:rsid w:val="00F85931"/>
    <w:rsid w:val="00F86A2B"/>
    <w:rsid w:val="00F871B6"/>
    <w:rsid w:val="00F877BE"/>
    <w:rsid w:val="00F90A64"/>
    <w:rsid w:val="00F9134D"/>
    <w:rsid w:val="00F92DE9"/>
    <w:rsid w:val="00F93017"/>
    <w:rsid w:val="00F93591"/>
    <w:rsid w:val="00F9421C"/>
    <w:rsid w:val="00F94B4E"/>
    <w:rsid w:val="00F95ABD"/>
    <w:rsid w:val="00F97519"/>
    <w:rsid w:val="00FA0EDC"/>
    <w:rsid w:val="00FA0F73"/>
    <w:rsid w:val="00FA12FA"/>
    <w:rsid w:val="00FA15B8"/>
    <w:rsid w:val="00FA43AB"/>
    <w:rsid w:val="00FA57E5"/>
    <w:rsid w:val="00FB0441"/>
    <w:rsid w:val="00FB0EAD"/>
    <w:rsid w:val="00FB1C36"/>
    <w:rsid w:val="00FB234C"/>
    <w:rsid w:val="00FB3888"/>
    <w:rsid w:val="00FB3CD5"/>
    <w:rsid w:val="00FB49E5"/>
    <w:rsid w:val="00FB6386"/>
    <w:rsid w:val="00FB64CA"/>
    <w:rsid w:val="00FC133D"/>
    <w:rsid w:val="00FC14A3"/>
    <w:rsid w:val="00FC1EE1"/>
    <w:rsid w:val="00FC26F4"/>
    <w:rsid w:val="00FC3D83"/>
    <w:rsid w:val="00FC3F7D"/>
    <w:rsid w:val="00FC76CF"/>
    <w:rsid w:val="00FC7E28"/>
    <w:rsid w:val="00FD0A39"/>
    <w:rsid w:val="00FD19EF"/>
    <w:rsid w:val="00FD3738"/>
    <w:rsid w:val="00FD5500"/>
    <w:rsid w:val="00FD6842"/>
    <w:rsid w:val="00FD7CFE"/>
    <w:rsid w:val="00FE1725"/>
    <w:rsid w:val="00FE197A"/>
    <w:rsid w:val="00FE274A"/>
    <w:rsid w:val="00FE281C"/>
    <w:rsid w:val="00FE3059"/>
    <w:rsid w:val="00FE3AAC"/>
    <w:rsid w:val="00FE40D0"/>
    <w:rsid w:val="00FE47E8"/>
    <w:rsid w:val="00FE6706"/>
    <w:rsid w:val="00FF0469"/>
    <w:rsid w:val="00FF36EB"/>
    <w:rsid w:val="00FF3A52"/>
    <w:rsid w:val="00FF63C4"/>
    <w:rsid w:val="00FF7218"/>
    <w:rsid w:val="00FF7F20"/>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4FAF51"/>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9B5493D"/>
  <w15:docId w15:val="{61FCFDCB-0D98-E246-AB35-9C83320D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eastAsia="Times New Roman" w:hAnsi="Times New Roman" w:cs="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paragraph" w:styleId="Caption">
    <w:name w:val="caption"/>
    <w:basedOn w:val="Normal"/>
    <w:next w:val="Normal"/>
    <w:link w:val="CaptionChar"/>
    <w:uiPriority w:val="99"/>
    <w:qFormat/>
    <w:pPr>
      <w:overflowPunct/>
      <w:autoSpaceDE/>
      <w:autoSpaceDN/>
      <w:adjustRightInd/>
      <w:spacing w:before="120" w:beforeAutospacing="0" w:after="120"/>
      <w:textAlignment w:val="auto"/>
    </w:pPr>
    <w:rPr>
      <w:rFonts w:eastAsia="MS Mincho"/>
      <w:b/>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34"/>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
    <w:name w:val="List Paragraph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20">
    <w:name w:val="吹き出し2"/>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paragraph" w:customStyle="1" w:styleId="Revision2">
    <w:name w:val="Revision2"/>
    <w:hidden/>
    <w:uiPriority w:val="99"/>
    <w:unhideWhenUsed/>
    <w:rPr>
      <w:rFonts w:ascii="Times New Roman" w:eastAsia="Times New Roman" w:hAnsi="Times New Roman" w:cs="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ascii="Times New Roman" w:eastAsia="Times New Roman" w:hAnsi="Times New Roman" w:cs="Times New Roman"/>
      <w:sz w:val="22"/>
      <w:lang w:val="en-GB"/>
    </w:rPr>
  </w:style>
  <w:style w:type="character" w:customStyle="1" w:styleId="Mention3">
    <w:name w:val="Mention3"/>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contentTypeDescription="Create a new document." ma:_="" ma:contentTypeScope="" ma:contentTypeID="0x010100F3E9551B3FDDA24EBF0A209BAAD637CA"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1:_="" ns3:_="" ma:root="true" targetNamespace="http://schemas.microsoft.com/office/2006/metadata/properties" ns2:_="" ns4:_="" ma:fieldsID="c2f5d01f1542ad6d6e0ac8608ac7d8f0">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ma:hidden="true" ma:displayName="Unified Compliance Policy Properties" nillable="true" name="_ip_UnifiedCompliancePolicyProperties" ma:index="21">
      <xsd:simpleType>
        <xsd:restriction base="dms:Note"/>
      </xsd:simpleType>
    </xsd:element>
    <xsd:element ma:internalName="_ip_UnifiedCompliancePolicyUIAction" ma:hidden="true" ma:displayName="Unified Compliance Policy UI Action" nillable="true" name="_ip_UnifiedCompliancePolicyUIAction" ma:index="22">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ma:hidden="true" ma:displayName="MediaServiceMetadata" nillable="true" ma:readOnly="true" name="MediaServiceMetadata" ma:index="8">
      <xsd:simpleType>
        <xsd:restriction base="dms:Note"/>
      </xsd:simpleType>
    </xsd:element>
    <xsd:element ma:internalName="MediaServiceFastMetadata" ma:hidden="true" ma:displayName="MediaServiceFastMetadata" nillable="true" ma:readOnly="true" name="MediaServiceFastMetadata" ma:index="9">
      <xsd:simpleType>
        <xsd:restriction base="dms:Note"/>
      </xsd:simpleType>
    </xsd:element>
    <xsd:element ma:internalName="MediaServiceDateTaken" ma:hidden="true" ma:displayName="MediaServiceDateTaken" nillable="true" ma:readOnly="true" name="MediaServiceDateTaken" ma:index="12">
      <xsd:simpleType>
        <xsd:restriction base="dms:Text"/>
      </xsd:simpleType>
    </xsd:element>
    <xsd:element ma:internalName="MediaServiceAutoTags" ma:displayName="Tags" nillable="true" ma:readOnly="true" name="MediaServiceAutoTags" ma:index="13">
      <xsd:simpleType>
        <xsd:restriction base="dms:Text"/>
      </xsd:simpleType>
    </xsd:element>
    <xsd:element ma:internalName="MediaServiceLocation" ma:displayName="Location" nillable="true" ma:readOnly="true" name="MediaServiceLocation" ma:index="14">
      <xsd:simpleType>
        <xsd:restriction base="dms:Text"/>
      </xsd:simpleType>
    </xsd:element>
    <xsd:element ma:internalName="MediaServiceOCR" ma:displayName="Extracted Text" nillable="true" ma:readOnly="true" name="MediaServiceOCR" ma:index="15">
      <xsd:simpleType>
        <xsd:restriction base="dms:Note">
          <xsd:maxLength value="255"/>
        </xsd:restriction>
      </xsd:simpleType>
    </xsd:element>
    <xsd:element ma:internalName="MediaServiceGenerationTime" ma:hidden="true" ma:displayName="MediaServiceGenerationTime" nillable="true" ma:readOnly="true" name="MediaServiceGenerationTime" ma:index="16">
      <xsd:simpleType>
        <xsd:restriction base="dms:Text"/>
      </xsd:simpleType>
    </xsd:element>
    <xsd:element ma:internalName="MediaServiceEventHashCode" ma:hidden="true" ma:displayName="MediaServiceEventHashCode" nillable="true" ma:readOnly="true" name="MediaServiceEventHashCode" ma:index="17">
      <xsd:simpleType>
        <xsd:restriction base="dms:Text"/>
      </xsd:simpleType>
    </xsd:element>
    <xsd:element ma:internalName="Sign_x002d_off_x0020_status" ma:displayName="Sign-off status" nillable="true" name="_Flow_SignoffStatus" ma:index="18">
      <xsd:simpleType>
        <xsd:restriction base="dms:Text"/>
      </xsd:simpleType>
    </xsd:element>
    <xsd:element ma:internalName="MediaServiceAutoKeyPoints" ma:hidden="true" ma:displayName="MediaServiceAutoKeyPoints" nillable="true" ma:readOnly="true" name="MediaServiceAutoKeyPoints" ma:index="19">
      <xsd:simpleType>
        <xsd:restriction base="dms:Note"/>
      </xsd:simpleType>
    </xsd:element>
    <xsd:element ma:internalName="MediaServiceKeyPoints" ma:displayName="KeyPoints" nillable="true" ma:readOnly="true" name="MediaServiceKeyPoints" ma:index="20">
      <xsd:simpleType>
        <xsd:restriction base="dms:Note">
          <xsd:maxLength value="255"/>
        </xsd:restriction>
      </xsd:simpleType>
    </xsd:element>
    <xsd:element ma:internalName="MediaLengthInSeconds" ma:displayName="Length (seconds)" nillable="true" ma:readOnly="true" name="MediaLengthInSeconds" ma:index="23">
      <xsd:simpleType>
        <xsd:restriction base="dms:Unknown"/>
      </xsd:simpleType>
    </xsd:element>
    <xsd:element ma:taxonomy="true" ma:termSetId="09814cd3-568e-fe90-9814-8d621ff8fb84" ma:taxonomyFieldName="MediaServiceImageTags" ma:internalName="lcf76f155ced4ddcb4097134ff3c332f" ma:taxonomyMulti="true" ma:displayName="Image Tags" nillable="true" ma:anchorId="fba54fb3-c3e1-fe81-a776-ca4b69148c4d" ma:readOnly="false" ma:sspId="c3d31b72-c4b9-4223-ac69-1d9539891dc8" name="lcf76f155ced4ddcb4097134ff3c332f" ma:fieldId="{5cf76f15-5ced-4ddc-b409-7134ff3c332f}" ma:isKeyword="false" ma:index="25" ma:open="true">
      <xsd:complexType>
        <xsd:sequence>
          <xsd:element ref="pc:Terms" maxOccurs="1" minOccurs="0"/>
        </xsd:sequence>
      </xsd:complexType>
    </xsd:element>
    <xsd:element ma:internalName="MediaServiceObjectDetectorVersions" ma:hidden="true" ma:displayName="MediaServiceObjectDetectorVersions" ma:description="" nillable="true" ma:readOnly="true" name="MediaServiceObjectDetectorVersions" ma:index="27" ma:indexed="true">
      <xsd:simpleType>
        <xsd:restriction base="dms:Text"/>
      </xsd:simpleType>
    </xsd:element>
    <xsd:element ma:internalName="MediaServiceSearchProperties" ma:hidden="true" ma:displayName="MediaServiceSearchProperties" nillable="true" ma:readOnly="true" name="MediaServiceSearchProperties" ma:index="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ma:displayName="Shared With" nillable="true" ma:readOnly="true" name="SharedWithUsers" ma:index="10">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ma:displayName="Shared With Details" nillable="true" ma:readOnly="true" name="SharedWithDetails"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web="9b239327-9e80-40e4-b1b7-4394fed77a33" ma:internalName="TaxCatchAll" ma:hidden="true" ma:displayName="Taxonomy Catch All Column" nillable="true" ma:showField="CatchAllData" name="TaxCatchAll" ma:list="{b887a991-dcc8-442b-9da6-e470cbc3e4a9}" ma:index="26">
      <xsd:complexType>
        <xsd:complexContent>
          <xsd:extension base="dms:MultiChoiceLookup">
            <xsd:sequence>
              <xsd:element type="dms:Lookup" maxOccurs="unbounded" minOccurs="0" nillable="true" name="Value"/>
            </xsd:sequence>
          </xsd:extension>
        </xsd:complexContent>
      </xsd:complexType>
    </xsd:element>
  </xsd:schema>
  <xsd:schema xmlns:odoc="http://schemas.microsoft.com/internal/obd" xmlns:xsd="http://www.w3.org/2001/XMLSchema" xmlns="http://schemas.openxmlformats.org/package/2006/metadata/core-properties" xmlns:xsi="http://www.w3.org/2001/XMLSchema-instance" xmlns:dcterms="http://purl.org/dc/terms/" xmlns:dc="http://purl.org/dc/elements/1.1/"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xOccurs="1" type="xsd:string" ma:displayName="Content Type" minOccurs="0" name="contentType" ma:index="0"/>
        <xsd:element ref="dc:title" maxOccurs="1" ma:displayName="Title"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b:Sources xmlns:b="http://schemas.openxmlformats.org/officeDocument/2006/bibliography" xmlns="http://schemas.openxmlformats.org/officeDocument/2006/bibliography" SelectedStyle="/APASixthEditionOfficeOnline.xsl" Version="6"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5FAECEF-B097-42E8-AD94-8A4E3DCF22C3}">
  <ds:schemaRefs/>
</ds:datastoreItem>
</file>

<file path=customXml/itemProps2.xml><?xml version="1.0" encoding="utf-8"?>
<ds:datastoreItem xmlns:ds="http://schemas.openxmlformats.org/officeDocument/2006/customXml" ds:itemID="{73AB3DAD-9D8B-304C-A56F-64081BC33A48}">
  <ds:schemaRefs/>
</ds:datastoreItem>
</file>

<file path=customXml/itemProps3.xml><?xml version="1.0" encoding="utf-8"?>
<ds:datastoreItem xmlns:ds="http://schemas.openxmlformats.org/officeDocument/2006/customXml" ds:itemID="{8E7346DD-4135-4594-9F9A-6E4C934C8C03}">
  <ds:schemaRefs/>
</ds:datastoreItem>
</file>

<file path=customXml/itemProps4.xml><?xml version="1.0" encoding="utf-8"?>
<ds:datastoreItem xmlns:ds="http://schemas.openxmlformats.org/officeDocument/2006/customXml" ds:itemID="{73E1A8ED-2E7C-4670-9630-F89B4746508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1008</TotalTime>
  <Pages>13</Pages>
  <Words>4009</Words>
  <Characters>22273</Characters>
  <Application>Microsoft Office Word</Application>
  <DocSecurity>0</DocSecurity>
  <Lines>185</Lines>
  <Paragraphs>52</Paragraphs>
  <ScaleCrop>false</ScaleCrop>
  <Company>3GPP Support Team</Company>
  <LinksUpToDate>false</LinksUpToDate>
  <CharactersWithSpaces>26230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1231</cp:revision>
  <cp:lastPrinted>1900-01-02T14:27:44Z</cp:lastPrinted>
  <dcterms:created xsi:type="dcterms:W3CDTF">2021-12-31T06:26:00Z</dcterms:created>
  <dcterms:modified xsi:type="dcterms:W3CDTF">2025-02-07T16:00:00Z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